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Paragraph"/>
        <w:spacing w:before="0" w:after="0"/>
        <w:jc w:val="center"/>
        <w:rPr>
          <w:rFonts w:ascii="Times New Roman" w:hAnsi="Times New Roman" w:cs="Times New Roman" w:asciiTheme="majorBidi" w:cstheme="majorBidi" w:hAnsiTheme="majorBidi"/>
          <w:b/>
          <w:b/>
          <w:bCs/>
          <w:color w:val="00000A"/>
          <w:sz w:val="26"/>
          <w:szCs w:val="26"/>
          <w:u w:val="single"/>
        </w:rPr>
      </w:pPr>
      <w:r>
        <w:rPr>
          <w:rFonts w:cs="Times New Roman" w:ascii="Times New Roman" w:hAnsi="Times New Roman" w:asciiTheme="majorBidi" w:cstheme="majorBidi" w:hAnsiTheme="majorBidi"/>
          <w:b/>
          <w:bCs/>
          <w:color w:val="00000A"/>
          <w:sz w:val="26"/>
          <w:szCs w:val="26"/>
          <w:u w:val="single"/>
        </w:rPr>
        <w:t>REPORTING PROFORMA FOR COMMERCIAL WINGS</w:t>
      </w:r>
    </w:p>
    <w:p>
      <w:pPr>
        <w:pStyle w:val="FirstParagraph"/>
        <w:spacing w:before="0" w:after="0"/>
        <w:jc w:val="center"/>
        <w:rPr>
          <w:rFonts w:ascii="Times New Roman" w:hAnsi="Times New Roman" w:cs="Times New Roman" w:asciiTheme="majorBidi" w:cstheme="majorBidi" w:hAnsiTheme="majorBidi"/>
          <w:b/>
          <w:b/>
          <w:bCs/>
          <w:color w:val="00000A"/>
          <w:sz w:val="26"/>
          <w:szCs w:val="26"/>
          <w:u w:val="single"/>
        </w:rPr>
      </w:pPr>
      <w:r>
        <w:rPr>
          <w:rFonts w:cs="Times New Roman" w:cstheme="majorBidi" w:ascii="Times New Roman" w:hAnsi="Times New Roman"/>
          <w:b/>
          <w:bCs/>
          <w:color w:val="00000A"/>
          <w:sz w:val="26"/>
          <w:szCs w:val="26"/>
          <w:u w:val="single"/>
        </w:rPr>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u w:val="single"/>
        </w:rPr>
        <w:t>MONTHLY REPORT- August 2023</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(Trade in Goods and Qualitative)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jc w:val="center"/>
        <w:rPr>
          <w:rFonts w:ascii="Times New Roman" w:hAnsi="Times New Roman" w:cs="Times New Roman" w:asciiTheme="majorBidi" w:cstheme="majorBidi" w:hAnsiTheme="majorBidi"/>
          <w:color w:val="00000A"/>
          <w:sz w:val="26"/>
          <w:szCs w:val="26"/>
          <w:lang w:bidi="ar-EG"/>
        </w:rPr>
      </w:pPr>
      <w:r>
        <w:rPr>
          <w:rFonts w:cs="Times New Roman" w:cstheme="majorBidi" w:ascii="Times New Roman" w:hAnsi="Times New Roman"/>
          <w:color w:val="00000A"/>
          <w:sz w:val="26"/>
          <w:szCs w:val="26"/>
          <w:lang w:bidi="ar-EG"/>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Name of the Mission (Country): </w:t>
      </w:r>
      <w:r>
        <w:rPr>
          <w:rFonts w:cs="Times New Roman" w:ascii="Times New Roman" w:hAnsi="Times New Roman" w:asciiTheme="majorBidi" w:cstheme="majorBidi" w:hAnsiTheme="majorBidi"/>
          <w:b/>
          <w:bCs/>
          <w:color w:val="00000A"/>
          <w:sz w:val="26"/>
          <w:szCs w:val="26"/>
        </w:rPr>
        <w:t>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numPr>
          <w:ilvl w:val="0"/>
          <w:numId w:val="3"/>
        </w:numPr>
        <w:spacing w:before="0" w:after="0"/>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GOODS</w:t>
      </w:r>
    </w:p>
    <w:p>
      <w:pPr>
        <w:pStyle w:val="Textbody1"/>
        <w:spacing w:before="0" w:after="0"/>
        <w:ind w:left="1080" w:hanging="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is available till May 2023 on CAPMAS</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t>Total trade in goods during May 2023</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3418"/>
        <w:gridCol w:w="2068"/>
        <w:gridCol w:w="2164"/>
        <w:gridCol w:w="2429"/>
      </w:tblGrid>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Egypt Export</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(US$ million)</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Egypt Import</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(US$ million)</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Status</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 Provisional/</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(F) Final</w:t>
            </w:r>
          </w:p>
        </w:tc>
      </w:tr>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Egypt’s trade with India</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for the Month : May 2023</w:t>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lang w:bidi="ar-EG"/>
              </w:rPr>
            </w:pPr>
            <w:r>
              <w:rPr>
                <w:rFonts w:cs="Times New Roman" w:ascii="Times New Roman" w:hAnsi="Times New Roman" w:asciiTheme="majorBidi" w:cstheme="majorBidi" w:hAnsiTheme="majorBidi"/>
                <w:color w:val="00000A"/>
                <w:sz w:val="26"/>
                <w:szCs w:val="26"/>
              </w:rPr>
              <w:t>130,857 Millions</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lang w:bidi="ar-EG"/>
              </w:rPr>
            </w:pPr>
            <w:r>
              <w:rPr>
                <w:rFonts w:cs="Times New Roman" w:ascii="Times New Roman" w:hAnsi="Times New Roman" w:asciiTheme="majorBidi" w:cstheme="majorBidi" w:hAnsiTheme="majorBidi"/>
                <w:color w:val="00000A"/>
                <w:sz w:val="26"/>
                <w:szCs w:val="26"/>
              </w:rPr>
              <w:t>329,276 Millions</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Final</w:t>
            </w:r>
          </w:p>
        </w:tc>
      </w:tr>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Egypt's total global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for the Month : May 2023</w:t>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highlight w:val="white"/>
              </w:rPr>
            </w:pPr>
            <w:r>
              <w:rPr>
                <w:rFonts w:cs="Times New Roman" w:ascii="Times New Roman" w:hAnsi="Times New Roman" w:asciiTheme="majorBidi" w:cstheme="majorBidi" w:hAnsiTheme="majorBidi"/>
                <w:color w:val="00000A"/>
                <w:sz w:val="26"/>
                <w:szCs w:val="26"/>
                <w:shd w:fill="FFFFFF" w:val="clear"/>
              </w:rPr>
              <w:t>3,382 Bn</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Normal"/>
              <w:suppressAutoHyphens w:val="false"/>
              <w:spacing w:lineRule="atLeast" w:line="450"/>
              <w:jc w:val="center"/>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rPr>
              <w:t>7,115 Bn</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Final</w:t>
            </w:r>
          </w:p>
        </w:tc>
      </w:tr>
    </w:tbl>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 xml:space="preserve">Preferential trade in goods during </w:t>
      </w:r>
      <w:r>
        <w:rPr>
          <w:rFonts w:cs="Times New Roman" w:ascii="Times New Roman" w:hAnsi="Times New Roman" w:asciiTheme="majorBidi" w:cstheme="majorBidi" w:hAnsiTheme="majorBidi"/>
          <w:b/>
          <w:bCs/>
          <w:color w:val="00000A"/>
          <w:sz w:val="26"/>
          <w:szCs w:val="26"/>
          <w:u w:val="single"/>
        </w:rPr>
        <w:t>May 2023</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905"/>
        <w:gridCol w:w="2780"/>
        <w:gridCol w:w="2796"/>
        <w:gridCol w:w="3598"/>
      </w:tblGrid>
      <w:tr>
        <w:trPr/>
        <w:tc>
          <w:tcPr>
            <w:tcW w:w="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27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 Free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Agreement with India</w:t>
            </w:r>
          </w:p>
        </w:tc>
        <w:tc>
          <w:tcPr>
            <w:tcW w:w="279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Imports from India (US$ million)</w:t>
            </w:r>
          </w:p>
        </w:tc>
        <w:tc>
          <w:tcPr>
            <w:tcW w:w="3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Imports from Egypt (US$ million)</w:t>
            </w:r>
          </w:p>
        </w:tc>
      </w:tr>
      <w:tr>
        <w:trPr/>
        <w:tc>
          <w:tcPr>
            <w:tcW w:w="1007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NA</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(Source: Customs/National Trade Statistics of reporting country)</w:t>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905"/>
        <w:gridCol w:w="2780"/>
        <w:gridCol w:w="2796"/>
        <w:gridCol w:w="3598"/>
      </w:tblGrid>
      <w:tr>
        <w:trPr/>
        <w:tc>
          <w:tcPr>
            <w:tcW w:w="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27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 Free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Agreement with India</w:t>
            </w:r>
          </w:p>
        </w:tc>
        <w:tc>
          <w:tcPr>
            <w:tcW w:w="279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Exports to India (US$ million)</w:t>
            </w:r>
          </w:p>
        </w:tc>
        <w:tc>
          <w:tcPr>
            <w:tcW w:w="3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Exports to Egypt (US$ million)</w:t>
            </w:r>
          </w:p>
        </w:tc>
      </w:tr>
      <w:tr>
        <w:trPr/>
        <w:tc>
          <w:tcPr>
            <w:tcW w:w="1007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NA</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(Source: based on Certificate of Origin Issued by reporting country)</w:t>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Top 10 items of import from India during May 2023</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 xml:space="preserve">Source: CAPMAS, </w:t>
      </w:r>
    </w:p>
    <w:tbl>
      <w:tblPr>
        <w:tblW w:w="998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544"/>
        <w:gridCol w:w="5132"/>
        <w:gridCol w:w="1881"/>
        <w:gridCol w:w="1422"/>
      </w:tblGrid>
      <w:tr>
        <w:trPr>
          <w:trHeight w:val="687"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HS Code</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Commodity</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Value (US$)</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Share in total import (%)</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2023</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Cuts of bov, boneless, frozen</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70,101,748</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21.3</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2710</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95 octane gasoline output from the process of refining crude oil or crude oils obtained from bituminous minerals materials</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32,240,000</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9.8</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1006</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Semi-milled or wholly milled rice, whether or not polished or glazed</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16,662,619</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5.1</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8455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parts of metal-rolling mills</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16,318,356</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5.0</w:t>
            </w:r>
          </w:p>
        </w:tc>
      </w:tr>
      <w:tr>
        <w:trPr>
          <w:trHeight w:val="390"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7202</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Ferro-silico-manganese</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8,186,578</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w:t>
            </w:r>
          </w:p>
        </w:tc>
      </w:tr>
      <w:tr>
        <w:trPr>
          <w:trHeight w:val="390"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7202</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Ferro-manganese, containing by weight more than 2% of carbon</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7,755,348</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2.4</w:t>
            </w:r>
          </w:p>
        </w:tc>
      </w:tr>
      <w:tr>
        <w:trPr>
          <w:trHeight w:val="390" w:hRule="atLeast"/>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5205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Cotton yarn (other than sewing thread), not put up for retail sale, single yarn, of combed fibers, Measuring less than 232.56 decitex but not less than 192.31 decitex (exceeding 43 metric number but not exceeding 52 metric number)</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6,891,599</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2.1</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8454</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Casting machines, of a kind used in metallurgy or in metal foundries.</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6,605,018</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8445</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Textile spinning machines</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6,500,512</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w:t>
            </w:r>
          </w:p>
        </w:tc>
      </w:tr>
      <w:tr>
        <w:trPr/>
        <w:tc>
          <w:tcPr>
            <w:tcW w:w="1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2933</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Patrol vehicles [ring] than harmonious with atom or atoms of is another harmonious nitrogen , unlike what was mentioned</w:t>
            </w:r>
          </w:p>
        </w:tc>
        <w:tc>
          <w:tcPr>
            <w:tcW w:w="1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6,160,486</w:t>
            </w:r>
          </w:p>
        </w:tc>
        <w:tc>
          <w:tcPr>
            <w:tcW w:w="1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1.9</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d) </w:t>
        <w:tab/>
        <w:t>Top 10 items of export to India during May 2023</w:t>
      </w:r>
    </w:p>
    <w:p>
      <w:pPr>
        <w:pStyle w:val="Standard"/>
        <w:tabs>
          <w:tab w:val="left" w:pos="720" w:leader="none"/>
          <w:tab w:val="left" w:pos="1440" w:leader="none"/>
          <w:tab w:val="left" w:pos="2160" w:leader="none"/>
          <w:tab w:val="left" w:pos="2880" w:leader="none"/>
          <w:tab w:val="center" w:pos="4995" w:leader="none"/>
        </w:tabs>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Source: CAPMAS,</w:t>
        <w:tab/>
      </w:r>
    </w:p>
    <w:tbl>
      <w:tblPr>
        <w:tblW w:w="998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614"/>
        <w:gridCol w:w="5040"/>
        <w:gridCol w:w="1890"/>
        <w:gridCol w:w="1435"/>
      </w:tblGrid>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HS Code</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Commodity</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Value (US$)</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Share in total export (%)</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2711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Liquefied natural gas</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33,560,000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25.6</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2709</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Petroleum, crude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27,520,000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21.0</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3103</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Fertilizers, phosphatic, semi-manufactured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15,000,000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11.5</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5201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cotton, not carded or combed, ginned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13,954,023</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10.7</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2510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Natural calcium phosphates, unground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12,855,508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9.8</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2809</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Phosphoric acid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9,756,117</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7.5</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8051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Fresh orange other than mentioned above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4,096,879</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2510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Natural calcium phosphates, ground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3,809,980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2.9</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2836</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Calcium carbonate other than those mentioned above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2,232,070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1.7</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8051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Valencia oranges, fresh.</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923,648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0.7</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g) </w:t>
        <w:tab/>
        <w:t>Potential products of Imports from India</w:t>
      </w:r>
    </w:p>
    <w:tbl>
      <w:tblPr>
        <w:tblW w:w="10616" w:type="dxa"/>
        <w:jc w:val="left"/>
        <w:tblInd w:w="3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noVBand="0" w:noHBand="0" w:lastColumn="0" w:firstColumn="0" w:lastRow="0" w:firstRow="0"/>
      </w:tblPr>
      <w:tblGrid>
        <w:gridCol w:w="895"/>
        <w:gridCol w:w="2161"/>
        <w:gridCol w:w="7560"/>
      </w:tblGrid>
      <w:tr>
        <w:trPr>
          <w:trHeight w:val="77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Sl. No.</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Commodity (4 digit HS tariff line)</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Rationale</w:t>
            </w:r>
          </w:p>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(Max. 200 words)</w:t>
            </w:r>
          </w:p>
        </w:tc>
      </w:tr>
      <w:tr>
        <w:trPr>
          <w:trHeight w:val="5441"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Textile ( 5911)</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Textile sector accounts for 3% of GDP and 27% of the industrial output of Egypt. 25% of the total industry is focused on textile production, of which 12% are engaged in home textiles, 8% in cotton yarn, and 5% in other textiles. Public sector dominates the production industry with 50% in spinning, 60% in hemming, and 60% in weaving. Private sector owns 90% of the garmenting side of the industry. Spinning and weaving sector is being dominated by the large-scale industries with a strong influence of public sector.</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textile sector consists of 3,243 companies with a total investment of USD 3.2 billion. Textile industries of Egypt produce 315 million apparels, and exports 305,000 tons of cloth and apparel annually. US constitute 80% of the country’s export market, followed by EU and Arabian countries comprising the remaining 20%.</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Normal"/>
              <w:spacing w:lineRule="auto" w:line="276"/>
              <w:jc w:val="both"/>
              <w:rPr>
                <w:rFonts w:ascii="Times New Roman" w:hAnsi="Times New Roman" w:eastAsia="Times New Roman" w:cs="Times New Roman" w:asciiTheme="majorBidi" w:cstheme="majorBidi" w:hAnsiTheme="majorBidi"/>
              </w:rPr>
            </w:pPr>
            <w:r>
              <w:rPr>
                <w:rFonts w:cs="Times New Roman" w:ascii="Times New Roman" w:hAnsi="Times New Roman" w:asciiTheme="majorBidi" w:cstheme="majorBidi" w:hAnsiTheme="majorBidi"/>
              </w:rPr>
              <w:t>India exported around US$ 642 thousands worth of textiles &amp; clothing products to Egypt during (April22 – May 23).</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42"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Pharmaceuticals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( 3006 )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Normal"/>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India is not among the 22 reference countries in the GMP model of registration followed by Egypt. Therefore, there are several restrictions in importing Indian drug formulations without prior approvals from the Egyptian authorities. There are currently Three Indian investments in pharmaceutical sector in Egypt viz. Sun Pharma, Pharmed Healthcare and Serum Vaccines that are mostly manufacturing generics. There is scope for more joint collaborations between Indian and Egyptian Pharma companies in Egypt. </w:t>
            </w:r>
          </w:p>
          <w:p>
            <w:pPr>
              <w:pStyle w:val="Normal"/>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India exported US$ 1.9 million worth of pharmaceutical items to Egypt during (April22 – May 23) </w:t>
            </w:r>
          </w:p>
        </w:tc>
      </w:tr>
      <w:tr>
        <w:trPr>
          <w:trHeight w:val="200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Automobile and auto components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(8708 )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According to the Automotive Information Council (AMIC) Sales in the Egyptian automotive market have dropped by 75 per cent on an annual basis Fewer than 5,400 vehicles were sold in January 2023, down from 21,200 vehicles in January 2022.</w:t>
            </w:r>
          </w:p>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Some of the reasons for reduced car sales are:</w:t>
            </w:r>
          </w:p>
          <w:p>
            <w:pPr>
              <w:pStyle w:val="TableContents"/>
              <w:numPr>
                <w:ilvl w:val="0"/>
                <w:numId w:val="4"/>
              </w:numPr>
              <w:ind w:left="310" w:hanging="252"/>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Very high inflation hitting Egyptian purchasing power, the automotive sector is yet to struggle amid a plethora of national and international obstacles.</w:t>
            </w:r>
          </w:p>
          <w:p>
            <w:pPr>
              <w:pStyle w:val="TableContents"/>
              <w:numPr>
                <w:ilvl w:val="0"/>
                <w:numId w:val="4"/>
              </w:numPr>
              <w:ind w:left="310" w:hanging="252"/>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Economic repercussions of the pandemic and the Russian-Ukrainian conflict hamper the world economy; the government’s measures to address these challenges have resulted in a protracted crisis in the automotive market.</w:t>
            </w:r>
          </w:p>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After the automobile market revives in Egypt, India would have a competitive advantage of its automobiles than other countries due to their reasonable car prices; Bajaj already has a partnership with Ghabbour of Egypt for CKD assembly of two and three wheelers for Egyptian markets.</w:t>
            </w:r>
          </w:p>
          <w:p>
            <w:pPr>
              <w:pStyle w:val="TableContents"/>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(iv)</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Agro products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 Wheat ( 1001 )</w:t>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  Rice ( 1006)</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 xml:space="preserve">(III) Millets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(IV)  Tea( 0902)</w:t>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 Others</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During (April22 – May 23), Egypt imported wheat worth more than US$ 4.6 billion and India’s share was only 0.5% with  US$ 24.5 Million, Egypt is one of the largest importers of wheat in the world and If India allows wheat exports then Egypt could be a good market for Indian exports of wheat</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imports around one million tons of rice each year including from Thailand, China, India, Russia, US and Argentina. Indian private traders have been supplying rice to Egypt through government procurement as well as at private levels. The Indian companies have to register with GASC to participate in the government procurement process. Though sometimes, the tenders are also open to non-registered companies as well. During (April22 – May 23) Egypt Imported rice worth 158 Million USD, India was the biggest supplier of rice to Egypt with (88.1 %) followed by Thailand (6.3%).</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imports almost 70% of its wheat and is looking forward to some alternative to reduce the wheat imports, there is informal indication that the Egyptian government may allot 300,000 feddans of land for cultivation in northern Egypt, Egyptian market may be explored for export of millets.</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is largest market of tea in MENA region. Kenya is major supplier (due to COMESA Agreement) followed by India and Sri Lanka. Indian tea export to Egypt has increased over the years due to reduction of tariff from 30 percent to 2 percent. In (April22 – May 23), India exported $ 5.75 million of tea. CTC Dust and Fanning variety are popular in Egypt.</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India has the potential to export new items as “ dried, shelled peas” , Maize , Bran, Sharps and other residues of wheat, Cotton (neither carded not combed)</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747"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(v)</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IT and IT enabled services (Information technology Items:85)</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The Egyptian authorities have launched a Digital Egypt Initiative which is in alignment with Egypt Vision 2030 to digitize several sectors like payment and settlement, Governance, Geographical Information Systems..etc. There is good number of foreign IT companies like Microsoft, IBM, Oracle, etc. having their data centers located in Smart Villages mainly located in the outskirts of the capital. Although there is lack of Indian IT companies in Egypt, some Indian companies are providing IT solutions especially in financial services with back-end support from their centers located in Dubai and Middle East. However, there are potential for Indian IT companies to operate in Egypt provided they have physical presence in Egypt.</w:t>
            </w:r>
          </w:p>
          <w:p>
            <w:pPr>
              <w:pStyle w:val="TableContents"/>
              <w:spacing w:lineRule="atLeast" w:line="285"/>
              <w:ind w:left="58" w:hanging="0"/>
              <w:jc w:val="both"/>
              <w:rPr/>
            </w:pPr>
            <w:hyperlink r:id="rId2">
              <w:r>
                <w:rPr>
                  <w:rStyle w:val="InternetLink1"/>
                  <w:rFonts w:cs="Times New Roman" w:ascii="Times New Roman" w:hAnsi="Times New Roman" w:asciiTheme="majorBidi" w:cstheme="majorBidi" w:hAnsiTheme="majorBidi"/>
                </w:rPr>
                <w:t>Tech Mahindra</w:t>
              </w:r>
            </w:hyperlink>
            <w:r>
              <w:rPr>
                <w:rFonts w:cs="Times New Roman" w:ascii="Times New Roman" w:hAnsi="Times New Roman" w:asciiTheme="majorBidi" w:cstheme="majorBidi" w:hAnsiTheme="majorBidi"/>
                <w:color w:val="00000A"/>
              </w:rPr>
              <w:t xml:space="preserve"> a leading provider of digital transformation, consulting, and business re-engineering services and solutions, has signed a Memorandum of Understanding (MoU) with the Information Technology Industry Development Agency (ITIDA) to establish a global delivery Centre in Cairo. Tech Mahindra aims to hire more than 1000 employees over next three years to serve both global and local customers from its newly inaugurated center in Cairo.</w:t>
            </w:r>
          </w:p>
        </w:tc>
      </w:tr>
      <w:tr>
        <w:trPr>
          <w:trHeight w:val="2153"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Plastics and Chemicals</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Egypt’s plastics market is supplied 65% from imports and 35% from domestic sources. The main suppliers are South Korea, India, Russia, and the Gulf States. Polyethylene, polyvinyl chloride suspension, PET, and thermoset plastics are the most common locally manufactured products. A private company now produces polypropylene, but most propylene continues to be imported. The excellent quality of EU-made products, explain their popularity in Egypt.</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930"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Coconut seedlings/ Date Palm seedlings</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rPr>
              <w:t>Coconut Seedlings export is banned from India due to phytosanitary concerns. The Egyptian side stated they would have to visit India to complete the Pest Risk Analysis (PRA) exercise.</w:t>
            </w:r>
          </w:p>
        </w:tc>
      </w:tr>
      <w:tr>
        <w:trPr>
          <w:trHeight w:val="930"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(Viii)</w:t>
            </w:r>
          </w:p>
        </w:tc>
        <w:tc>
          <w:tcPr>
            <w:tcW w:w="216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Engineering Goods</w:t>
            </w:r>
          </w:p>
        </w:tc>
        <w:tc>
          <w:tcPr>
            <w:tcW w:w="7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India has exported engineering goods worth of US$ 17.55 Millions to Egypt during 2021-2022 (DOC).</w:t>
            </w:r>
          </w:p>
          <w:p>
            <w:pPr>
              <w:pStyle w:val="Normal"/>
              <w:spacing w:lineRule="auto" w:line="259"/>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 addition, Egypt is expanding in terms of new roads, new cities and new factories are being built so it is expected that the Egyptian demand on the engineering goods would increase and India could be a good supplier to Egypt of engineering goods.</w:t>
            </w:r>
          </w:p>
        </w:tc>
      </w:tr>
    </w:tbl>
    <w:p>
      <w:pPr>
        <w:pStyle w:val="Standard"/>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r>
        <w:br w:type="page"/>
      </w:r>
    </w:p>
    <w:p>
      <w:pPr>
        <w:pStyle w:val="Standard"/>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B.</w:t>
      </w:r>
      <w:r>
        <w:rPr>
          <w:rFonts w:cs="Times New Roman" w:ascii="Times New Roman" w:hAnsi="Times New Roman" w:asciiTheme="majorBidi" w:cstheme="majorBidi" w:hAnsiTheme="majorBidi"/>
          <w:color w:val="00000A"/>
          <w:sz w:val="26"/>
          <w:szCs w:val="26"/>
        </w:rPr>
        <w:t xml:space="preserve"> </w:t>
      </w:r>
      <w:r>
        <w:rPr>
          <w:rFonts w:cs="Times New Roman" w:ascii="Times New Roman" w:hAnsi="Times New Roman" w:asciiTheme="majorBidi" w:cstheme="majorBidi" w:hAnsiTheme="majorBidi"/>
          <w:b/>
          <w:bCs/>
          <w:color w:val="00000A"/>
          <w:sz w:val="26"/>
          <w:szCs w:val="26"/>
        </w:rPr>
        <w:t>QUALITATIVE</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Month :</w:t>
      </w:r>
      <w:r>
        <w:rPr>
          <w:rFonts w:cs="Times New Roman" w:ascii="Times New Roman" w:hAnsi="Times New Roman" w:asciiTheme="majorBidi" w:cstheme="majorBidi" w:hAnsiTheme="majorBidi"/>
          <w:color w:val="00000A"/>
          <w:sz w:val="26"/>
          <w:szCs w:val="26"/>
        </w:rPr>
        <w:t xml:space="preserve"> </w:t>
      </w:r>
      <w:r>
        <w:rPr>
          <w:rFonts w:eastAsia="Calibri" w:cs="Times New Roman" w:ascii="Times New Roman" w:hAnsi="Times New Roman" w:asciiTheme="majorBidi" w:cstheme="majorBidi" w:hAnsiTheme="majorBidi"/>
          <w:b/>
          <w:color w:val="00000A"/>
          <w:sz w:val="26"/>
          <w:szCs w:val="26"/>
        </w:rPr>
        <w:t>August</w:t>
      </w:r>
      <w:r>
        <w:rPr>
          <w:rFonts w:eastAsia="Calibri" w:cs="Times New Roman" w:ascii="Times New Roman" w:hAnsi="Times New Roman" w:asciiTheme="majorBidi" w:cstheme="majorBidi" w:hAnsiTheme="majorBidi"/>
          <w:bCs/>
          <w:color w:val="00000A"/>
          <w:sz w:val="26"/>
          <w:szCs w:val="26"/>
        </w:rPr>
        <w:t xml:space="preserve"> </w:t>
      </w:r>
      <w:r>
        <w:rPr>
          <w:rFonts w:cs="Times New Roman" w:ascii="Times New Roman" w:hAnsi="Times New Roman" w:asciiTheme="majorBidi" w:cstheme="majorBidi" w:hAnsiTheme="majorBidi"/>
          <w:b/>
          <w:bCs/>
          <w:color w:val="00000A"/>
          <w:sz w:val="26"/>
          <w:szCs w:val="26"/>
        </w:rPr>
        <w:t>2023</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1. </w:t>
        <w:tab/>
      </w:r>
      <w:r>
        <w:rPr>
          <w:rFonts w:cs="Times New Roman" w:ascii="Times New Roman" w:hAnsi="Times New Roman" w:asciiTheme="majorBidi" w:cstheme="majorBidi" w:hAnsiTheme="majorBidi"/>
          <w:b/>
          <w:bCs/>
          <w:color w:val="00000A"/>
          <w:sz w:val="26"/>
          <w:szCs w:val="26"/>
        </w:rPr>
        <w:t>Market Access Alerts</w:t>
      </w:r>
      <w:r>
        <w:rPr>
          <w:rFonts w:cs="Times New Roman" w:ascii="Times New Roman" w:hAnsi="Times New Roman" w:asciiTheme="majorBidi" w:cstheme="majorBidi" w:hAnsiTheme="majorBidi"/>
          <w:color w:val="00000A"/>
          <w:sz w:val="26"/>
          <w:szCs w:val="26"/>
        </w:rPr>
        <w:t>:</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ListParagraph"/>
        <w:numPr>
          <w:ilvl w:val="0"/>
          <w:numId w:val="1"/>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Alerts on customs tariff changes:-</w:t>
      </w:r>
    </w:p>
    <w:p>
      <w:pPr>
        <w:pStyle w:val="ListParagraph"/>
        <w:spacing w:before="0" w:after="0"/>
        <w:ind w:left="1080" w:hanging="0"/>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 xml:space="preserve">No Change in customs tariff during </w:t>
      </w:r>
      <w:r>
        <w:rPr>
          <w:rFonts w:eastAsia="Calibri" w:cs="Times New Roman" w:ascii="Times New Roman" w:hAnsi="Times New Roman" w:asciiTheme="majorBidi" w:cstheme="majorBidi" w:hAnsiTheme="majorBidi"/>
          <w:b/>
          <w:color w:val="00000A"/>
          <w:sz w:val="26"/>
          <w:szCs w:val="26"/>
        </w:rPr>
        <w:t>August</w:t>
      </w:r>
      <w:r>
        <w:rPr>
          <w:rFonts w:eastAsia="Calibri" w:cs="Times New Roman" w:ascii="Times New Roman" w:hAnsi="Times New Roman" w:asciiTheme="majorBidi" w:cstheme="majorBidi" w:hAnsiTheme="majorBidi"/>
          <w:bCs/>
          <w:color w:val="00000A"/>
          <w:sz w:val="26"/>
          <w:szCs w:val="26"/>
        </w:rPr>
        <w:t xml:space="preserve"> </w:t>
      </w:r>
      <w:r>
        <w:rPr>
          <w:rFonts w:cs="Times New Roman" w:ascii="Times New Roman" w:hAnsi="Times New Roman" w:asciiTheme="majorBidi" w:cstheme="majorBidi" w:hAnsiTheme="majorBidi"/>
          <w:b/>
          <w:bCs/>
          <w:color w:val="00000A"/>
          <w:sz w:val="26"/>
          <w:szCs w:val="26"/>
        </w:rPr>
        <w:t>2023</w:t>
      </w:r>
    </w:p>
    <w:p>
      <w:pPr>
        <w:pStyle w:val="ListParagraph"/>
        <w:spacing w:before="0" w:after="0"/>
        <w:ind w:left="1080" w:hanging="0"/>
        <w:jc w:val="right"/>
        <w:rPr>
          <w:rFonts w:ascii="Times New Roman" w:hAnsi="Times New Roman" w:cs="Times New Roman" w:asciiTheme="majorBidi" w:cstheme="majorBidi" w:hAnsiTheme="majorBidi"/>
          <w:color w:val="00000A"/>
          <w:sz w:val="22"/>
          <w:szCs w:val="22"/>
        </w:rPr>
      </w:pPr>
      <w:r>
        <w:rPr>
          <w:rFonts w:cs="Times New Roman" w:ascii="Times New Roman" w:hAnsi="Times New Roman" w:asciiTheme="majorBidi" w:cstheme="majorBidi" w:hAnsiTheme="majorBidi"/>
          <w:color w:val="00000A"/>
          <w:sz w:val="22"/>
          <w:szCs w:val="22"/>
        </w:rPr>
        <w:t>Egyptian Customs Authority</w:t>
      </w:r>
    </w:p>
    <w:p>
      <w:pPr>
        <w:pStyle w:val="ListParagraph"/>
        <w:spacing w:before="0" w:after="0"/>
        <w:ind w:left="1080" w:hanging="0"/>
        <w:jc w:val="right"/>
        <w:rPr>
          <w:rFonts w:ascii="Times New Roman" w:hAnsi="Times New Roman" w:cs="Times New Roman" w:asciiTheme="majorBidi" w:cstheme="majorBidi" w:hAnsiTheme="majorBidi"/>
          <w:color w:val="00000A"/>
          <w:sz w:val="22"/>
          <w:szCs w:val="22"/>
        </w:rPr>
      </w:pPr>
      <w:r>
        <w:rPr>
          <w:rFonts w:cs="Times New Roman" w:cstheme="majorBidi" w:ascii="Times New Roman" w:hAnsi="Times New Roman"/>
          <w:color w:val="00000A"/>
          <w:sz w:val="22"/>
          <w:szCs w:val="22"/>
        </w:rPr>
      </w:r>
    </w:p>
    <w:tbl>
      <w:tblPr>
        <w:tblW w:w="9986"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23"/>
        <w:gridCol w:w="1308"/>
        <w:gridCol w:w="1017"/>
        <w:gridCol w:w="1466"/>
        <w:gridCol w:w="986"/>
        <w:gridCol w:w="1080"/>
        <w:gridCol w:w="1081"/>
        <w:gridCol w:w="2423"/>
      </w:tblGrid>
      <w:tr>
        <w:trPr/>
        <w:tc>
          <w:tcPr>
            <w:tcW w:w="6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30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 and date</w:t>
            </w:r>
          </w:p>
        </w:tc>
        <w:tc>
          <w:tcPr>
            <w:tcW w:w="101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w:t>
            </w:r>
          </w:p>
        </w:tc>
        <w:tc>
          <w:tcPr>
            <w:tcW w:w="146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Description</w:t>
            </w:r>
          </w:p>
        </w:tc>
        <w:tc>
          <w:tcPr>
            <w:tcW w:w="9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Original customs tariff</w:t>
            </w:r>
          </w:p>
        </w:tc>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Present customs tariff</w:t>
            </w:r>
          </w:p>
        </w:tc>
        <w:tc>
          <w:tcPr>
            <w:tcW w:w="108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2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6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30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color w:val="00000A"/>
                <w:sz w:val="26"/>
                <w:szCs w:val="26"/>
              </w:rPr>
            </w:pPr>
            <w:r>
              <w:rPr>
                <w:rFonts w:eastAsia="Calibri" w:cs="Times New Roman" w:ascii="Times New Roman" w:hAnsi="Times New Roman" w:asciiTheme="majorBidi" w:cstheme="majorBidi" w:hAnsiTheme="majorBidi"/>
                <w:b/>
                <w:color w:val="00000A"/>
                <w:sz w:val="26"/>
                <w:szCs w:val="26"/>
              </w:rPr>
              <w:t>NIL</w:t>
            </w:r>
          </w:p>
        </w:tc>
        <w:tc>
          <w:tcPr>
            <w:tcW w:w="101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6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9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08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2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 xml:space="preserve">Alerts on non-tariff measures (SPS/TBT/import and export procedures/ restrictions/ </w:t>
        <w:tab/>
        <w:t>prohibitions, licensing/STEs etc.)</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35"/>
        <w:gridCol w:w="1156"/>
        <w:gridCol w:w="1438"/>
        <w:gridCol w:w="1715"/>
        <w:gridCol w:w="1523"/>
        <w:gridCol w:w="3422"/>
      </w:tblGrid>
      <w:tr>
        <w:trPr/>
        <w:tc>
          <w:tcPr>
            <w:tcW w:w="7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5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 date</w:t>
            </w:r>
          </w:p>
        </w:tc>
        <w:tc>
          <w:tcPr>
            <w:tcW w:w="143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Measure</w:t>
            </w:r>
          </w:p>
        </w:tc>
        <w:tc>
          <w:tcPr>
            <w:tcW w:w="17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Codes</w:t>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3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7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5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43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7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3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Alerts on standards, technical regulations and conformity assessment procedures: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75"/>
        <w:gridCol w:w="1185"/>
        <w:gridCol w:w="1560"/>
        <w:gridCol w:w="1620"/>
        <w:gridCol w:w="1532"/>
        <w:gridCol w:w="3417"/>
      </w:tblGrid>
      <w:tr>
        <w:trPr/>
        <w:tc>
          <w:tcPr>
            <w:tcW w:w="67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no./date</w:t>
            </w:r>
          </w:p>
        </w:tc>
        <w:tc>
          <w:tcPr>
            <w:tcW w:w="156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Standard/technical regulation/ conformity assessment procedure</w:t>
            </w:r>
          </w:p>
        </w:tc>
        <w:tc>
          <w:tcPr>
            <w:tcW w:w="162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Codes</w:t>
            </w:r>
          </w:p>
        </w:tc>
        <w:tc>
          <w:tcPr>
            <w:tcW w:w="153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3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67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1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56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62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53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3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Spacing"/>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d. </w:t>
        <w:tab/>
        <w:t>Alerts on trade defense measures taken by respective country:</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(Safeguards including special safeguard, antidumping, CVD or anti- subsidy)</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22"/>
        <w:gridCol w:w="1168"/>
        <w:gridCol w:w="1164"/>
        <w:gridCol w:w="1170"/>
        <w:gridCol w:w="1170"/>
        <w:gridCol w:w="4595"/>
      </w:tblGrid>
      <w:tr>
        <w:trPr/>
        <w:tc>
          <w:tcPr>
            <w:tcW w:w="72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Notification no., date or other references</w:t>
            </w:r>
          </w:p>
        </w:tc>
        <w:tc>
          <w:tcPr>
            <w:tcW w:w="1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Type (Initiation, final, prov., sunset, consultations, new shipper review)</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Details of products/ sectors affected (including HS codes)</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4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72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c>
        <w:tc>
          <w:tcPr>
            <w:tcW w:w="4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rmal"/>
              <w:jc w:val="both"/>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Spacing"/>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2. </w:t>
        <w:tab/>
      </w:r>
      <w:r>
        <w:rPr>
          <w:rFonts w:cs="Times New Roman" w:ascii="Times New Roman" w:hAnsi="Times New Roman" w:asciiTheme="majorBidi" w:cstheme="majorBidi" w:hAnsiTheme="majorBidi"/>
          <w:b/>
          <w:bCs/>
          <w:color w:val="00000A"/>
          <w:sz w:val="26"/>
          <w:szCs w:val="26"/>
        </w:rPr>
        <w:t>Feedback</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t xml:space="preserve">Feedback from major Indian industries/other commercial concerns and Indian trade visitors to Egypt. </w:t>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36"/>
        <w:gridCol w:w="1509"/>
        <w:gridCol w:w="1170"/>
        <w:gridCol w:w="1445"/>
        <w:gridCol w:w="5130"/>
      </w:tblGrid>
      <w:tr>
        <w:trPr/>
        <w:tc>
          <w:tcPr>
            <w:tcW w:w="73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50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Name of business house</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sector</w:t>
            </w:r>
          </w:p>
        </w:tc>
        <w:tc>
          <w:tcPr>
            <w:tcW w:w="14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barrier issues if any (incl. HS codes)</w:t>
            </w:r>
          </w:p>
        </w:tc>
        <w:tc>
          <w:tcPr>
            <w:tcW w:w="5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General Feedback (Max. 200 words)</w:t>
            </w:r>
          </w:p>
        </w:tc>
      </w:tr>
      <w:tr>
        <w:trPr/>
        <w:tc>
          <w:tcPr>
            <w:tcW w:w="73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50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5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Feedback on major trade activities</w:t>
      </w:r>
      <w:r>
        <w:rPr>
          <w:rFonts w:cs="Times New Roman" w:ascii="Times New Roman" w:hAnsi="Times New Roman" w:asciiTheme="majorBidi" w:cstheme="majorBidi" w:hAnsiTheme="majorBidi"/>
          <w:b/>
          <w:bCs/>
          <w:color w:val="00000A"/>
          <w:sz w:val="26"/>
          <w:szCs w:val="26"/>
        </w:rPr>
        <w:t xml:space="preserve"> </w:t>
      </w:r>
      <w:r>
        <w:rPr>
          <w:rFonts w:cs="Times New Roman" w:ascii="Times New Roman" w:hAnsi="Times New Roman" w:asciiTheme="majorBidi" w:cstheme="majorBidi" w:hAnsiTheme="majorBidi"/>
          <w:color w:val="00000A"/>
          <w:sz w:val="26"/>
          <w:szCs w:val="26"/>
        </w:rPr>
        <w:t>including logistic events (trade fairs/BSM including Indian participation)</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85"/>
        <w:gridCol w:w="1470"/>
        <w:gridCol w:w="1531"/>
        <w:gridCol w:w="1215"/>
        <w:gridCol w:w="1459"/>
        <w:gridCol w:w="2905"/>
        <w:gridCol w:w="724"/>
      </w:tblGrid>
      <w:tr>
        <w:trPr/>
        <w:tc>
          <w:tcPr>
            <w:tcW w:w="6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4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(trade fair, BSM etc.)</w:t>
            </w:r>
          </w:p>
        </w:tc>
        <w:tc>
          <w:tcPr>
            <w:tcW w:w="153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Date and Venue</w:t>
            </w:r>
          </w:p>
        </w:tc>
        <w:tc>
          <w:tcPr>
            <w:tcW w:w="12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participants from India</w:t>
            </w:r>
          </w:p>
        </w:tc>
        <w:tc>
          <w:tcPr>
            <w:tcW w:w="145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Name(s) of large/key participants from India</w:t>
            </w:r>
          </w:p>
        </w:tc>
        <w:tc>
          <w:tcPr>
            <w:tcW w:w="2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Feedback received (Max. 200 words)</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Source of funding (MAI, TA/TC)</w:t>
            </w:r>
          </w:p>
        </w:tc>
      </w:tr>
      <w:tr>
        <w:trPr/>
        <w:tc>
          <w:tcPr>
            <w:tcW w:w="6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53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2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5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2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 xml:space="preserve">Feedback from local commercial visitors to trade fairs in India, including under BSM; </w:t>
        <w:tab/>
        <w:t>number of Business visas issued</w:t>
      </w:r>
      <w:r>
        <w:rPr>
          <w:rFonts w:cs="Times New Roman" w:ascii="Times New Roman" w:hAnsi="Times New Roman" w:asciiTheme="majorBidi" w:cstheme="majorBidi" w:hAnsiTheme="majorBidi"/>
          <w:b/>
          <w:bCs/>
          <w:color w:val="00000A"/>
          <w:sz w:val="26"/>
          <w:szCs w:val="26"/>
        </w:rPr>
        <w:t xml:space="preserve">: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noVBand="1" w:noHBand="0" w:lastColumn="0" w:firstColumn="1" w:lastRow="0" w:firstRow="1"/>
      </w:tblPr>
      <w:tblGrid>
        <w:gridCol w:w="624"/>
        <w:gridCol w:w="901"/>
        <w:gridCol w:w="1440"/>
        <w:gridCol w:w="810"/>
        <w:gridCol w:w="2392"/>
        <w:gridCol w:w="1235"/>
        <w:gridCol w:w="2677"/>
      </w:tblGrid>
      <w:tr>
        <w:trPr/>
        <w:tc>
          <w:tcPr>
            <w:tcW w:w="62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90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(trade fair)</w:t>
            </w:r>
          </w:p>
        </w:tc>
        <w:tc>
          <w:tcPr>
            <w:tcW w:w="14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Date and venue</w:t>
            </w:r>
          </w:p>
        </w:tc>
        <w:tc>
          <w:tcPr>
            <w:tcW w:w="8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participants from Egypt</w:t>
            </w:r>
          </w:p>
        </w:tc>
        <w:tc>
          <w:tcPr>
            <w:tcW w:w="239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List of large/key participants from Egypt</w:t>
            </w:r>
          </w:p>
        </w:tc>
        <w:tc>
          <w:tcPr>
            <w:tcW w:w="12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Business visas issued</w:t>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Feedback received (Max. 200 words)</w:t>
            </w:r>
          </w:p>
        </w:tc>
      </w:tr>
      <w:tr>
        <w:trPr/>
        <w:tc>
          <w:tcPr>
            <w:tcW w:w="62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90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Business Visas</w:t>
            </w:r>
          </w:p>
        </w:tc>
        <w:tc>
          <w:tcPr>
            <w:tcW w:w="14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August 2023</w:t>
            </w:r>
          </w:p>
        </w:tc>
        <w:tc>
          <w:tcPr>
            <w:tcW w:w="8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239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2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Cs/>
                <w:color w:val="00000A"/>
                <w:sz w:val="26"/>
                <w:szCs w:val="26"/>
              </w:rPr>
              <w:t>301</w:t>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Consular Wing issued  </w:t>
            </w:r>
            <w:r>
              <w:rPr>
                <w:rFonts w:cs="Times New Roman" w:ascii="Times New Roman" w:hAnsi="Times New Roman" w:asciiTheme="majorBidi" w:cstheme="majorBidi" w:hAnsiTheme="majorBidi"/>
                <w:bCs/>
                <w:color w:val="00000A"/>
                <w:sz w:val="26"/>
                <w:szCs w:val="26"/>
              </w:rPr>
              <w:t xml:space="preserve">301 </w:t>
            </w:r>
            <w:r>
              <w:rPr>
                <w:rFonts w:cs="Times New Roman" w:ascii="Times New Roman" w:hAnsi="Times New Roman" w:asciiTheme="majorBidi" w:cstheme="majorBidi" w:hAnsiTheme="majorBidi"/>
                <w:color w:val="00000A"/>
                <w:sz w:val="26"/>
                <w:szCs w:val="26"/>
              </w:rPr>
              <w:t>Business Visa during August 2023</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3. </w:t>
        <w:tab/>
      </w:r>
      <w:r>
        <w:rPr>
          <w:rFonts w:cs="Times New Roman" w:ascii="Times New Roman" w:hAnsi="Times New Roman" w:asciiTheme="majorBidi" w:cstheme="majorBidi" w:hAnsiTheme="majorBidi"/>
          <w:b/>
          <w:bCs/>
          <w:color w:val="00000A"/>
          <w:sz w:val="26"/>
          <w:szCs w:val="26"/>
          <w:u w:val="single"/>
        </w:rPr>
        <w:t>Trade and Investment:</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r>
      <w:r>
        <w:rPr>
          <w:rFonts w:cs="Times New Roman" w:ascii="Times New Roman" w:hAnsi="Times New Roman" w:asciiTheme="majorBidi" w:cstheme="majorBidi" w:hAnsiTheme="majorBidi"/>
          <w:color w:val="00000A"/>
          <w:sz w:val="26"/>
          <w:szCs w:val="26"/>
          <w:u w:val="single"/>
        </w:rPr>
        <w:t xml:space="preserve">Significant trends in trade and investment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86"/>
        <w:gridCol w:w="2045"/>
        <w:gridCol w:w="3804"/>
        <w:gridCol w:w="3544"/>
      </w:tblGrid>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Category</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Details of significant trends (Max.</w:t>
            </w:r>
          </w:p>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 xml:space="preserve"> </w:t>
            </w:r>
            <w:r>
              <w:rPr>
                <w:rFonts w:cs="Times New Roman" w:ascii="Times New Roman" w:hAnsi="Times New Roman" w:asciiTheme="majorBidi" w:cstheme="majorBidi" w:hAnsiTheme="majorBidi"/>
                <w:b/>
                <w:bCs/>
                <w:color w:val="00000A"/>
                <w:sz w:val="26"/>
                <w:szCs w:val="26"/>
              </w:rPr>
              <w:t>200 words)</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Analysis (Max. 200 words)</w:t>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1.</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Goods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is available till May 2023 on CAPMAS</w:t>
            </w:r>
          </w:p>
          <w:p>
            <w:pPr>
              <w:pStyle w:val="Standard"/>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Import  in  May 2022 426.188 (US$ million)</w:t>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Import of  May 2023: 130.857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Export in May  2022: 362 (US$ million)</w:t>
            </w:r>
          </w:p>
          <w:p>
            <w:pPr>
              <w:pStyle w:val="TableContents"/>
              <w:tabs>
                <w:tab w:val="left" w:pos="1215"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p>
            <w:pPr>
              <w:pStyle w:val="Normal"/>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rPr>
              <w:t>Value of Indian Export in  May 2023: 329.276 (US$ million)</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Total trade comparison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May 2022: 788.188 (US$ million)</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FF0000"/>
                <w:sz w:val="26"/>
                <w:szCs w:val="26"/>
                <w:lang w:bidi="ar-EG"/>
              </w:rPr>
            </w:pPr>
            <w:r>
              <w:rPr>
                <w:rFonts w:cs="Times New Roman" w:ascii="Times New Roman" w:hAnsi="Times New Roman" w:asciiTheme="majorBidi" w:cstheme="majorBidi" w:hAnsiTheme="majorBidi"/>
                <w:color w:val="00000A"/>
                <w:sz w:val="26"/>
                <w:szCs w:val="26"/>
              </w:rPr>
              <w:t>May 2023: 460.133 (US$ million)</w:t>
            </w:r>
            <w:r>
              <w:rPr>
                <w:rFonts w:cs="Times New Roman" w:ascii="Times New Roman" w:hAnsi="Times New Roman" w:asciiTheme="majorBidi" w:cstheme="majorBidi" w:hAnsiTheme="majorBidi"/>
                <w:color w:val="FF0000"/>
                <w:sz w:val="26"/>
                <w:szCs w:val="26"/>
              </w:rPr>
              <w:br/>
              <w:t xml:space="preserve"> </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Total trade between India and Egypt during May 2023 </w:t>
            </w:r>
            <w:r>
              <w:rPr>
                <w:rFonts w:cs="Times New Roman" w:ascii="Times New Roman" w:hAnsi="Times New Roman" w:asciiTheme="majorBidi" w:cstheme="majorBidi" w:hAnsiTheme="majorBidi"/>
                <w:b/>
                <w:bCs/>
                <w:color w:val="00000A"/>
                <w:sz w:val="26"/>
                <w:szCs w:val="26"/>
              </w:rPr>
              <w:t>decreased</w:t>
            </w:r>
            <w:r>
              <w:rPr>
                <w:rFonts w:cs="Times New Roman" w:ascii="Times New Roman" w:hAnsi="Times New Roman" w:asciiTheme="majorBidi" w:cstheme="majorBidi" w:hAnsiTheme="majorBidi"/>
                <w:color w:val="00000A"/>
                <w:sz w:val="26"/>
                <w:szCs w:val="26"/>
              </w:rPr>
              <w:t xml:space="preserve"> to US $ 460.133 million compared to same period of 2022.</w:t>
            </w:r>
          </w:p>
          <w:p>
            <w:pPr>
              <w:pStyle w:val="TableContents"/>
              <w:rPr>
                <w:rFonts w:ascii="Times New Roman" w:hAnsi="Times New Roman" w:cs="Times New Roman" w:asciiTheme="majorBidi" w:cstheme="majorBidi" w:hAnsiTheme="majorBidi"/>
                <w:color w:val="FF0000"/>
                <w:sz w:val="26"/>
                <w:szCs w:val="26"/>
              </w:rPr>
            </w:pPr>
            <w:r>
              <w:rPr>
                <w:rFonts w:cs="Times New Roman" w:ascii="Times New Roman" w:hAnsi="Times New Roman" w:asciiTheme="majorBidi" w:cstheme="majorBidi" w:hAnsiTheme="majorBidi"/>
                <w:color w:val="FF0000"/>
                <w:sz w:val="26"/>
                <w:szCs w:val="26"/>
              </w:rPr>
              <w:br/>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p>
            <w:pPr>
              <w:pStyle w:val="Normal"/>
              <w:rPr>
                <w:rFonts w:ascii="Times New Roman" w:hAnsi="Times New Roman" w:cs="Times New Roman" w:asciiTheme="majorBidi" w:cstheme="majorBidi" w:hAnsiTheme="majorBidi"/>
                <w:sz w:val="26"/>
                <w:szCs w:val="26"/>
                <w:lang w:bidi="ar-EG"/>
              </w:rPr>
            </w:pPr>
            <w:r>
              <w:rPr>
                <w:rFonts w:cs="Times New Roman" w:ascii="Times New Roman" w:hAnsi="Times New Roman" w:asciiTheme="majorBidi" w:cstheme="majorBidi" w:hAnsiTheme="majorBidi"/>
                <w:sz w:val="26"/>
                <w:szCs w:val="26"/>
              </w:rPr>
              <w:t xml:space="preserve">Indian exports to Egypt decreased to US $ 329.276 million and the Indian imports decreased to US $ 130.857 million compared to same period of 2022. </w:t>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Services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The Embassy during August 2023 received 0 enquiries on se</w:t>
            </w:r>
            <w:bookmarkStart w:id="0" w:name="_GoBack"/>
            <w:bookmarkEnd w:id="0"/>
            <w:r>
              <w:rPr>
                <w:rFonts w:cs="Times New Roman" w:ascii="Times New Roman" w:hAnsi="Times New Roman" w:asciiTheme="majorBidi" w:cstheme="majorBidi" w:hAnsiTheme="majorBidi"/>
                <w:color w:val="00000A"/>
                <w:sz w:val="26"/>
                <w:szCs w:val="26"/>
              </w:rPr>
              <w:t>rvices.</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Trade figures of some of the service sectors are given below:</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Pharma Items ( HS Code:30)</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 export in May 2022: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3.277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 export in  May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1.329 (US$ Millions)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shd w:fill="FFFFFF" w:val="clear"/>
              </w:rPr>
              <w:t>Electrical machinery and equipment and parts including</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shd w:fill="FFFFFF" w:val="clear"/>
              </w:rPr>
              <w:t>Information technology software. (HS Code: 85)</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 export in May 2022: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9.706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 export in  May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8.359 (US$ Millions)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shd w:fill="FFFFFF" w:val="clear"/>
              </w:rPr>
              <w:t>Books newspapers , pictures including educational services (HS Code : 49)</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 export in Mar 2022: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86.896 (US$ thousands)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 export in  Mar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2.633 (US$ thousands) </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During May 2023, the Indian export of pharma services and items to Egypt Decreased recording US $1.329 (US Million) compared to May 2022.</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Indian export of IT and Electric Services and staff decreased recording US $ 8.359 million compared to May 2022.</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Indian export of Educational Services decreased recording US $ </w:t>
            </w:r>
            <w:r>
              <w:rPr>
                <w:rFonts w:cs="Times New Roman" w:ascii="Times New Roman" w:hAnsi="Times New Roman" w:asciiTheme="majorBidi" w:cstheme="majorBidi" w:hAnsiTheme="majorBidi"/>
                <w:color w:val="00000A"/>
                <w:sz w:val="26"/>
                <w:szCs w:val="26"/>
                <w:shd w:fill="FFFFFF" w:val="clear"/>
              </w:rPr>
              <w:t xml:space="preserve">2.633 thousands </w:t>
            </w:r>
            <w:r>
              <w:rPr>
                <w:rFonts w:cs="Times New Roman" w:ascii="Times New Roman" w:hAnsi="Times New Roman" w:asciiTheme="majorBidi" w:cstheme="majorBidi" w:hAnsiTheme="majorBidi"/>
                <w:color w:val="00000A"/>
                <w:sz w:val="26"/>
                <w:szCs w:val="26"/>
              </w:rPr>
              <w:t>compared to May 2022</w:t>
            </w:r>
          </w:p>
          <w:p>
            <w:pPr>
              <w:pStyle w:val="TableContents"/>
              <w:rPr>
                <w:rFonts w:ascii="Times New Roman" w:hAnsi="Times New Roman" w:cs="Times New Roman" w:asciiTheme="majorBidi" w:cstheme="majorBidi" w:hAnsiTheme="majorBidi"/>
                <w:color w:val="00000A"/>
                <w:sz w:val="26"/>
                <w:szCs w:val="26"/>
                <w:lang w:bidi="ar-EG"/>
              </w:rPr>
            </w:pPr>
            <w:r>
              <w:rPr>
                <w:rFonts w:cs="Times New Roman" w:cstheme="majorBidi" w:ascii="Times New Roman" w:hAnsi="Times New Roman"/>
                <w:color w:val="00000A"/>
                <w:sz w:val="26"/>
                <w:szCs w:val="26"/>
                <w:lang w:bidi="ar-EG"/>
              </w:rPr>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Top Indian companies in Egypt are :</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TCI Sanmar</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Flex P Films</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Alex Carbon Black Co.</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Dabur Co.</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EIPIT</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Galaxy Chemicals</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Embee International</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EKC Egypt</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Platinum Stabilizers Egypt</w:t>
            </w:r>
          </w:p>
          <w:p>
            <w:pPr>
              <w:pStyle w:val="ListParagraph"/>
              <w:numPr>
                <w:ilvl w:val="0"/>
                <w:numId w:val="6"/>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ABDOS FMCG</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Indian investments in Egypt have increased steadily over the years, with major companies expanding their capacities. The Indian investment in Egypt includes more than 50 Indian companies which operates in Egypt; mainly in the fields of textiles, chemicals, auto parts, etc. with a combined investment of around US$ 3.2 billion.</w:t>
            </w:r>
          </w:p>
        </w:tc>
      </w:tr>
    </w:tbl>
    <w:p>
      <w:pPr>
        <w:pStyle w:val="ListParagraph"/>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ListParagraph"/>
        <w:numPr>
          <w:ilvl w:val="0"/>
          <w:numId w:val="2"/>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Opportunities for investments/ assets on offer/ major company divestment:</w:t>
      </w:r>
    </w:p>
    <w:p>
      <w:pPr>
        <w:pStyle w:val="ListParagraph"/>
        <w:spacing w:before="0" w:after="0"/>
        <w:ind w:left="1080" w:hanging="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pPr>
      <w:r>
        <w:rPr>
          <w:rFonts w:cs="Times New Roman" w:ascii="Times New Roman" w:hAnsi="Times New Roman" w:asciiTheme="majorBidi" w:cstheme="majorBidi" w:hAnsiTheme="majorBidi"/>
          <w:color w:val="00000A"/>
          <w:sz w:val="26"/>
          <w:szCs w:val="26"/>
        </w:rPr>
        <w:t>General Authority for Investment and Free Zones, GAFI, declared availability of 1149</w:t>
      </w:r>
      <w:r>
        <w:rPr>
          <w:rFonts w:cs="Times New Roman" w:ascii="Times New Roman" w:hAnsi="Times New Roman" w:asciiTheme="majorBidi" w:cstheme="majorBidi" w:hAnsiTheme="majorBidi"/>
          <w:b/>
          <w:bCs/>
          <w:color w:val="00000A"/>
          <w:sz w:val="26"/>
          <w:szCs w:val="26"/>
        </w:rPr>
        <w:t xml:space="preserve"> o</w:t>
      </w:r>
      <w:r>
        <w:rPr>
          <w:rFonts w:cs="Times New Roman" w:ascii="Times New Roman" w:hAnsi="Times New Roman" w:asciiTheme="majorBidi" w:cstheme="majorBidi" w:hAnsiTheme="majorBidi"/>
          <w:color w:val="00000A"/>
          <w:sz w:val="26"/>
          <w:szCs w:val="26"/>
        </w:rPr>
        <w:t xml:space="preserve">pportunities of investment in Egypt for foreign countries. Details of the opportunities are available on </w:t>
      </w:r>
      <w:hyperlink r:id="rId3">
        <w:r>
          <w:rPr>
            <w:rStyle w:val="InternetLink1"/>
            <w:rFonts w:cs="Times New Roman" w:ascii="Times New Roman" w:hAnsi="Times New Roman" w:asciiTheme="majorBidi" w:cstheme="majorBidi" w:hAnsiTheme="majorBidi"/>
            <w:color w:val="00000A"/>
            <w:sz w:val="26"/>
            <w:szCs w:val="26"/>
          </w:rPr>
          <w:t>www.investinegypt.gov.eg</w:t>
        </w:r>
      </w:hyperlink>
      <w:r>
        <w:rPr>
          <w:rFonts w:cs="Times New Roman" w:ascii="Times New Roman" w:hAnsi="Times New Roman" w:asciiTheme="majorBidi" w:cstheme="majorBidi" w:hAnsiTheme="majorBidi"/>
          <w:color w:val="00000A"/>
          <w:sz w:val="26"/>
          <w:szCs w:val="26"/>
        </w:rPr>
        <w:t>. Below are some of the booming (30) opportunities declared by GAFI.</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535"/>
        <w:gridCol w:w="1890"/>
        <w:gridCol w:w="4319"/>
        <w:gridCol w:w="3335"/>
      </w:tblGrid>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Sector Name</w:t>
            </w:r>
          </w:p>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Particulars of the asset/ company</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Contact details</w:t>
            </w:r>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for 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land for 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Governorate: Suez</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Location: Ain Sukhna free zone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Allocation Method: Usufruct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 Construction &amp; Building Materials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Utilities: Not Available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Type: Land Only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Jurisdiction:General </w:t>
            </w:r>
            <w:r>
              <w:rPr>
                <w:rFonts w:ascii="Brando Arabic Regular" w:hAnsi="Brando Arabic Regular"/>
                <w:color w:val="000000"/>
                <w:sz w:val="27"/>
                <w:szCs w:val="27"/>
                <w:shd w:fill="FFFFFF" w:val="clear"/>
              </w:rPr>
              <w:t>General Authority For Suez Canal Economic Zone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Area:</w:t>
            </w:r>
            <w:r>
              <w:rPr/>
              <w:t xml:space="preserve"> </w:t>
            </w:r>
            <w:r>
              <w:rPr>
                <w:rFonts w:cs="Times New Roman" w:ascii="Times New Roman" w:hAnsi="Times New Roman" w:asciiTheme="majorBidi" w:cstheme="majorBidi" w:hAnsiTheme="majorBidi"/>
                <w:color w:val="00000A"/>
                <w:sz w:val="26"/>
                <w:szCs w:val="26"/>
              </w:rPr>
              <w:t>3,000 M2</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Zones: Ain Sukhna Free Zone</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rPr/>
            </w:pPr>
            <w:r>
              <w:rPr>
                <w:rFonts w:cs="Times New Roman" w:ascii="Times New Roman" w:hAnsi="Times New Roman" w:asciiTheme="majorBidi" w:cstheme="majorBidi" w:hAnsiTheme="majorBidi"/>
                <w:color w:val="00000A"/>
                <w:sz w:val="26"/>
                <w:szCs w:val="26"/>
              </w:rPr>
              <w:t xml:space="preserve">E-mail: </w:t>
            </w:r>
            <w:hyperlink r:id="rId4">
              <w:r>
                <w:rPr>
                  <w:rStyle w:val="InternetLink1"/>
                  <w:rFonts w:cs="Times New Roman" w:ascii="Times New Roman" w:hAnsi="Times New Roman" w:asciiTheme="majorBidi" w:cstheme="majorBidi" w:hAnsiTheme="majorBidi"/>
                  <w:color w:val="00000A"/>
                  <w:sz w:val="26"/>
                  <w:szCs w:val="26"/>
                </w:rPr>
                <w:t>m.waly@gafinet.org.eg</w:t>
              </w:r>
            </w:hyperlink>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Services</w:t>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Governorate: Suez</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Location: Ras Abu Al Darg - Ein Sokhna/Zafarana Road - Al Galala City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 Services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Utilities: Available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Type: opportunity with land</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Jurisdiction: Al Galala City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Area:</w:t>
            </w:r>
            <w:r>
              <w:rPr/>
              <w:t xml:space="preserve"> </w:t>
            </w:r>
            <w:r>
              <w:rPr>
                <w:rFonts w:cs="Times New Roman" w:ascii="Times New Roman" w:hAnsi="Times New Roman" w:asciiTheme="majorBidi" w:cstheme="majorBidi" w:hAnsiTheme="majorBidi"/>
                <w:color w:val="00000A"/>
                <w:sz w:val="26"/>
                <w:szCs w:val="26"/>
              </w:rPr>
              <w:t>3,000 M2</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Project: Al Galala City And Tourist Compound</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Progress: 90%</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Competitive Advantages:</w:t>
            </w:r>
          </w:p>
          <w:p>
            <w:pPr>
              <w:pStyle w:val="TableContents"/>
              <w:jc w:val="both"/>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color w:val="00000A"/>
                <w:sz w:val="26"/>
                <w:szCs w:val="26"/>
              </w:rPr>
              <w:t>​</w:t>
            </w:r>
            <w:r>
              <w:rPr>
                <w:rFonts w:cs="Times New Roman" w:ascii="Times New Roman" w:hAnsi="Times New Roman" w:asciiTheme="majorBidi" w:cstheme="majorBidi" w:hAnsiTheme="majorBidi"/>
                <w:color w:val="00000A"/>
                <w:sz w:val="26"/>
                <w:szCs w:val="26"/>
              </w:rPr>
              <w:t>Al Galala City &amp; Resorts Has More Than 16 Major Investment Opportunities That Ranges From Managing Luxurious Five Stars Hotels, Cable Cars Station, Entertainment Center, International Yacht Marina, The First Real Outlet Mall In Egypt &amp; Africa, First Skydiving Drop Zone, Al Galala University The First Private Medicine University At Egypt &amp; The Most Famous Area For Mining Including Industrial Zone And More.</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jc w:val="center"/>
              <w:rPr/>
            </w:pPr>
            <w:r>
              <w:rPr>
                <w:rFonts w:cs="Times New Roman" w:ascii="Times New Roman" w:hAnsi="Times New Roman" w:asciiTheme="majorBidi" w:cstheme="majorBidi" w:hAnsiTheme="majorBidi"/>
                <w:color w:val="00000A"/>
                <w:sz w:val="26"/>
                <w:szCs w:val="26"/>
              </w:rPr>
              <w:t xml:space="preserve">E-mail: </w:t>
            </w:r>
            <w:hyperlink r:id="rId5">
              <w:r>
                <w:rPr>
                  <w:rStyle w:val="InternetLink1"/>
                  <w:rFonts w:cs="Times New Roman" w:ascii="Times New Roman" w:hAnsi="Times New Roman" w:asciiTheme="majorBidi" w:cstheme="majorBidi" w:hAnsiTheme="majorBidi"/>
                  <w:color w:val="00000A"/>
                  <w:sz w:val="26"/>
                  <w:szCs w:val="26"/>
                </w:rPr>
                <w:t>m.waly@gafinet.org.eg</w:t>
              </w:r>
            </w:hyperlink>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rPr>
                <w:rFonts w:ascii="Times New Roman" w:hAnsi="Times New Roman" w:eastAsia="Times New Roman" w:cs="Times New Roman" w:asciiTheme="majorBidi" w:cstheme="majorBidi" w:hAnsiTheme="majorBidi"/>
                <w:sz w:val="26"/>
                <w:szCs w:val="26"/>
              </w:rPr>
            </w:pPr>
            <w:r>
              <w:rPr>
                <w:rFonts w:eastAsia="Times New Roman" w:cs="Times New Roman" w:ascii="Times New Roman" w:hAnsi="Times New Roman" w:asciiTheme="majorBidi" w:cstheme="majorBidi" w:hAnsiTheme="majorBidi"/>
                <w:sz w:val="26"/>
                <w:szCs w:val="26"/>
              </w:rPr>
              <w:t>Operating And Managing Distinguished Technical Schools</w:t>
            </w:r>
          </w:p>
          <w:p>
            <w:pPr>
              <w:pStyle w:val="Normal"/>
              <w:rPr>
                <w:rFonts w:ascii="Times New Roman" w:hAnsi="Times New Roman" w:eastAsia="Times New Roman" w:cs="Times New Roman" w:asciiTheme="majorBidi" w:cstheme="majorBidi" w:hAnsiTheme="majorBidi"/>
                <w:sz w:val="26"/>
                <w:szCs w:val="26"/>
              </w:rPr>
            </w:pPr>
            <w:r>
              <w:rPr>
                <w:rFonts w:eastAsia="Times New Roman" w:cs="Times New Roman" w:cstheme="majorBidi" w:ascii="Times New Roman" w:hAnsi="Times New Roman"/>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 pioneering opportunity to manage, develop, rehabilitate and operate Training Centers into a sophisticated technical school for any of the following initial specializations (electrical installations - metal forming and welding - metal working) or according to the investor's vision.</w:t>
            </w:r>
          </w:p>
          <w:p>
            <w:pPr>
              <w:pStyle w:val="TableContents"/>
              <w:numPr>
                <w:ilvl w:val="0"/>
                <w:numId w:val="5"/>
              </w:numPr>
              <w:ind w:left="414" w:hanging="36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Available in 28 different locations</w:t>
            </w:r>
          </w:p>
          <w:p>
            <w:pPr>
              <w:pStyle w:val="TableContents"/>
              <w:numPr>
                <w:ilvl w:val="0"/>
                <w:numId w:val="5"/>
              </w:numPr>
              <w:ind w:left="414" w:hanging="360"/>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color w:val="00000A"/>
                <w:sz w:val="26"/>
                <w:szCs w:val="26"/>
              </w:rPr>
              <w:t>Jurisdiction:</w:t>
            </w:r>
            <w:r>
              <w:rPr>
                <w:rFonts w:eastAsia="Times New Roman" w:cs="Times New Roman" w:ascii="Brando Arabic Regular" w:hAnsi="Brando Arabic Regular"/>
                <w:color w:val="000000"/>
                <w:sz w:val="20"/>
                <w:szCs w:val="20"/>
              </w:rPr>
              <w:t xml:space="preserve"> </w:t>
            </w:r>
            <w:r>
              <w:rPr>
                <w:rFonts w:cs="Times New Roman" w:ascii="Times New Roman" w:hAnsi="Times New Roman" w:asciiTheme="majorBidi" w:cstheme="majorBidi" w:hAnsiTheme="majorBidi"/>
                <w:sz w:val="26"/>
                <w:szCs w:val="26"/>
              </w:rPr>
              <w:t>Ministry of Education and Technical Education</w:t>
            </w:r>
          </w:p>
          <w:p>
            <w:pPr>
              <w:pStyle w:val="TableContents"/>
              <w:numPr>
                <w:ilvl w:val="0"/>
                <w:numId w:val="5"/>
              </w:numPr>
              <w:ind w:left="414" w:hanging="36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with Land and utilities</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 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rPr/>
            </w:pPr>
            <w:r>
              <w:rPr>
                <w:rFonts w:cs="Times New Roman" w:ascii="Times New Roman" w:hAnsi="Times New Roman" w:asciiTheme="majorBidi" w:cstheme="majorBidi" w:hAnsiTheme="majorBidi"/>
                <w:color w:val="00000A"/>
                <w:sz w:val="26"/>
                <w:szCs w:val="26"/>
              </w:rPr>
              <w:t xml:space="preserve">E-mail: </w:t>
            </w:r>
            <w:hyperlink r:id="rId6">
              <w:r>
                <w:rPr>
                  <w:rStyle w:val="InternetLink1"/>
                  <w:rFonts w:cs="Times New Roman" w:ascii="Times New Roman" w:hAnsi="Times New Roman" w:asciiTheme="majorBidi" w:cstheme="majorBidi" w:hAnsiTheme="majorBidi"/>
                  <w:color w:val="00000A"/>
                  <w:sz w:val="26"/>
                  <w:szCs w:val="26"/>
                </w:rPr>
                <w:t>m.waly@gafinet.org.eg</w:t>
              </w:r>
            </w:hyperlink>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Information on tender Notices for projects and procurement of interest to Indian project exporters/ suppliers (USD 15 million &amp; above)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tbl>
      <w:tblPr>
        <w:tblW w:w="10080" w:type="dxa"/>
        <w:jc w:val="left"/>
        <w:tblInd w:w="2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87"/>
        <w:gridCol w:w="4250"/>
        <w:gridCol w:w="1710"/>
        <w:gridCol w:w="3332"/>
      </w:tblGrid>
      <w:tr>
        <w:trPr/>
        <w:tc>
          <w:tcPr>
            <w:tcW w:w="78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425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Tender/ procurement notice No. and date</w:t>
            </w:r>
          </w:p>
        </w:tc>
        <w:tc>
          <w:tcPr>
            <w:tcW w:w="17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w:t>
            </w:r>
          </w:p>
        </w:tc>
        <w:tc>
          <w:tcPr>
            <w:tcW w:w="33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tender/ procurement</w:t>
            </w:r>
          </w:p>
        </w:tc>
      </w:tr>
      <w:tr>
        <w:trPr/>
        <w:tc>
          <w:tcPr>
            <w:tcW w:w="78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1</w:t>
            </w:r>
          </w:p>
        </w:tc>
        <w:tc>
          <w:tcPr>
            <w:tcW w:w="425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hd w:val="clear" w:color="auto" w:fill="FFFFFF"/>
              <w:spacing w:beforeAutospacing="1" w:afterAutospacing="1"/>
              <w:rPr>
                <w:rFonts w:ascii="Times New Roman" w:hAnsi="Times New Roman" w:eastAsia="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shd w:fill="F9F9F9" w:val="clear"/>
              </w:rPr>
              <w:t>NIL</w:t>
            </w:r>
          </w:p>
        </w:tc>
        <w:tc>
          <w:tcPr>
            <w:tcW w:w="17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3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b/>
          <w:bCs/>
          <w:sz w:val="26"/>
          <w:szCs w:val="26"/>
          <w:u w:val="single"/>
        </w:rPr>
        <w:t>Any other issues of importance</w:t>
      </w:r>
      <w:r>
        <w:rPr>
          <w:rFonts w:cs="Times New Roman" w:ascii="Times New Roman" w:hAnsi="Times New Roman" w:asciiTheme="majorBidi" w:cstheme="majorBidi" w:hAnsiTheme="majorBidi"/>
          <w:sz w:val="26"/>
          <w:szCs w:val="26"/>
        </w:rPr>
        <w:t xml:space="preserve"> (Max 500 words)</w:t>
      </w:r>
    </w:p>
    <w:p>
      <w:pPr>
        <w:pStyle w:val="Standard"/>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bl>
      <w:tblPr>
        <w:tblW w:w="9960" w:type="dxa"/>
        <w:jc w:val="left"/>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noVBand="0" w:noHBand="0" w:lastColumn="0" w:firstColumn="0" w:lastRow="0" w:firstRow="0"/>
      </w:tblPr>
      <w:tblGrid>
        <w:gridCol w:w="9960"/>
      </w:tblGrid>
      <w:tr>
        <w:trPr>
          <w:trHeight w:val="1757" w:hRule="atLeast"/>
        </w:trPr>
        <w:tc>
          <w:tcPr>
            <w:tcW w:w="99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ListParagraph"/>
              <w:shd w:val="clear" w:color="auto" w:fill="FFFFFF"/>
              <w:spacing w:before="0" w:after="200"/>
              <w:jc w:val="both"/>
              <w:rPr>
                <w:rFonts w:ascii="Times New Roman" w:hAnsi="Times New Roman" w:cs="Times New Roman" w:asciiTheme="majorBidi" w:cstheme="majorBidi" w:hAnsiTheme="majorBidi"/>
                <w:sz w:val="28"/>
                <w:szCs w:val="28"/>
              </w:rPr>
            </w:pPr>
            <w:r>
              <w:rPr>
                <w:rFonts w:cs="Times New Roman" w:ascii="Times New Roman" w:hAnsi="Times New Roman" w:asciiTheme="majorBidi" w:cstheme="majorBidi" w:hAnsiTheme="majorBidi"/>
                <w:b/>
                <w:bCs/>
                <w:sz w:val="28"/>
                <w:szCs w:val="28"/>
              </w:rPr>
              <w:t>On 16</w:t>
            </w:r>
            <w:r>
              <w:rPr>
                <w:rFonts w:cs="Times New Roman" w:ascii="Times New Roman" w:hAnsi="Times New Roman" w:asciiTheme="majorBidi" w:cstheme="majorBidi" w:hAnsiTheme="majorBidi"/>
                <w:b/>
                <w:bCs/>
                <w:sz w:val="28"/>
                <w:szCs w:val="28"/>
                <w:vertAlign w:val="superscript"/>
              </w:rPr>
              <w:t>th</w:t>
            </w:r>
            <w:r>
              <w:rPr>
                <w:rFonts w:cs="Times New Roman" w:ascii="Times New Roman" w:hAnsi="Times New Roman" w:asciiTheme="majorBidi" w:cstheme="majorBidi" w:hAnsiTheme="majorBidi"/>
                <w:b/>
                <w:bCs/>
                <w:sz w:val="28"/>
                <w:szCs w:val="28"/>
              </w:rPr>
              <w:t xml:space="preserve"> of August 2023:</w:t>
            </w:r>
            <w:r>
              <w:rPr>
                <w:rFonts w:cs="Times New Roman" w:ascii="Times New Roman" w:hAnsi="Times New Roman" w:asciiTheme="majorBidi" w:cstheme="majorBidi" w:hAnsiTheme="majorBidi"/>
                <w:color w:val="0F1419"/>
                <w:sz w:val="26"/>
                <w:szCs w:val="26"/>
                <w:shd w:fill="FFFFFF" w:val="clear"/>
              </w:rPr>
              <w:t xml:space="preserve"> </w:t>
            </w:r>
            <w:r>
              <w:rPr>
                <w:rFonts w:cs="Times New Roman" w:ascii="Times New Roman" w:hAnsi="Times New Roman" w:asciiTheme="majorBidi" w:cstheme="majorBidi" w:hAnsiTheme="majorBidi"/>
                <w:color w:val="0F1419"/>
                <w:sz w:val="28"/>
                <w:szCs w:val="28"/>
                <w:shd w:fill="FFFFFF" w:val="clear"/>
              </w:rPr>
              <w:t>Ambassador Ajit Gupte and Minister of Tourism &amp; Antiquities Mr. Ahmed Issa inaugurated India Tourism Event held by Embassy of India. Also, Leading Tour Operators &amp; Social Media influencers took part. Event aimed to strengthen Tourism between Egypt and India &amp; promote attractions in India, Yoga &amp; Wellness.</w:t>
            </w:r>
          </w:p>
        </w:tc>
      </w:tr>
    </w:tbl>
    <w:p>
      <w:pPr>
        <w:pStyle w:val="Standard"/>
        <w:pBdr>
          <w:bottom w:val="dotted" w:sz="24" w:space="1" w:color="000001"/>
        </w:pBdr>
        <w:tabs>
          <w:tab w:val="left" w:pos="7424" w:leader="none"/>
        </w:tabs>
        <w:spacing w:before="0" w:after="0"/>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p>
      <w:pPr>
        <w:pStyle w:val="Standard"/>
        <w:pBdr>
          <w:bottom w:val="dotted" w:sz="24" w:space="1" w:color="000001"/>
        </w:pBdr>
        <w:tabs>
          <w:tab w:val="left" w:pos="7424" w:leader="none"/>
        </w:tabs>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p>
      <w:pPr>
        <w:pStyle w:val="Standard"/>
        <w:spacing w:before="0" w:after="0"/>
        <w:rPr/>
      </w:pPr>
      <w:r>
        <w:rPr/>
      </w:r>
    </w:p>
    <w:sectPr>
      <w:type w:val="nextPage"/>
      <w:pgSz w:w="12240" w:h="15840"/>
      <w:pgMar w:left="990" w:right="1260" w:header="0" w:top="851" w:footer="0" w:bottom="110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Segoe UI">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Brando Arabic Regular">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Roman"/>
      <w:lvlText w:val="%1)"/>
      <w:lvlJc w:val="left"/>
      <w:pPr>
        <w:ind w:left="778" w:hanging="720"/>
      </w:pPr>
    </w:lvl>
    <w:lvl w:ilvl="1">
      <w:start w:val="1"/>
      <w:numFmt w:val="lowerLetter"/>
      <w:lvlText w:val="%2."/>
      <w:lvlJc w:val="left"/>
      <w:pPr>
        <w:ind w:left="1138" w:hanging="360"/>
      </w:pPr>
    </w:lvl>
    <w:lvl w:ilvl="2">
      <w:start w:val="1"/>
      <w:numFmt w:val="lowerRoman"/>
      <w:lvlText w:val="%3."/>
      <w:lvlJc w:val="right"/>
      <w:pPr>
        <w:ind w:left="1858" w:hanging="180"/>
      </w:pPr>
    </w:lvl>
    <w:lvl w:ilvl="3">
      <w:start w:val="1"/>
      <w:numFmt w:val="decimal"/>
      <w:lvlText w:val="%4."/>
      <w:lvlJc w:val="left"/>
      <w:pPr>
        <w:ind w:left="2578" w:hanging="360"/>
      </w:pPr>
    </w:lvl>
    <w:lvl w:ilvl="4">
      <w:start w:val="1"/>
      <w:numFmt w:val="lowerLetter"/>
      <w:lvlText w:val="%5."/>
      <w:lvlJc w:val="left"/>
      <w:pPr>
        <w:ind w:left="3298" w:hanging="360"/>
      </w:pPr>
    </w:lvl>
    <w:lvl w:ilvl="5">
      <w:start w:val="1"/>
      <w:numFmt w:val="lowerRoman"/>
      <w:lvlText w:val="%6."/>
      <w:lvlJc w:val="right"/>
      <w:pPr>
        <w:ind w:left="4018" w:hanging="180"/>
      </w:pPr>
    </w:lvl>
    <w:lvl w:ilvl="6">
      <w:start w:val="1"/>
      <w:numFmt w:val="decimal"/>
      <w:lvlText w:val="%7."/>
      <w:lvlJc w:val="left"/>
      <w:pPr>
        <w:ind w:left="4738" w:hanging="360"/>
      </w:pPr>
    </w:lvl>
    <w:lvl w:ilvl="7">
      <w:start w:val="1"/>
      <w:numFmt w:val="lowerLetter"/>
      <w:lvlText w:val="%8."/>
      <w:lvlJc w:val="left"/>
      <w:pPr>
        <w:ind w:left="5458" w:hanging="360"/>
      </w:pPr>
    </w:lvl>
    <w:lvl w:ilvl="8">
      <w:start w:val="1"/>
      <w:numFmt w:val="lowerRoman"/>
      <w:lvlText w:val="%9."/>
      <w:lvlJc w:val="right"/>
      <w:pPr>
        <w:ind w:left="6178" w:hanging="180"/>
      </w:pPr>
    </w:lvl>
  </w:abstractNum>
  <w:abstractNum w:abstractNumId="5">
    <w:lvl w:ilvl="0">
      <w:start w:val="5"/>
      <w:numFmt w:val="bullet"/>
      <w:lvlText w:val="-"/>
      <w:lvlJc w:val="left"/>
      <w:pPr>
        <w:ind w:left="720" w:hanging="360"/>
      </w:pPr>
      <w:rPr>
        <w:rFonts w:ascii="Times New Roman" w:hAnsi="Times New Roman" w:cs="Times New Roman" w:hint="default"/>
        <w:sz w:val="26"/>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F1"/>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Cambria" w:hAnsi="Cambria" w:eastAsia="Cambria" w:cs="F1"/>
      <w:color w:val="auto"/>
      <w:sz w:val="24"/>
      <w:szCs w:val="24"/>
      <w:lang w:val="en-US" w:eastAsia="en-US" w:bidi="ar-SA"/>
    </w:rPr>
  </w:style>
  <w:style w:type="paragraph" w:styleId="Heading1">
    <w:name w:val="Heading 1"/>
    <w:qFormat/>
    <w:pPr>
      <w:keepNext/>
      <w:keepLines/>
      <w:widowControl w:val="false"/>
      <w:spacing w:before="480" w:after="0"/>
      <w:outlineLvl w:val="0"/>
    </w:pPr>
    <w:rPr>
      <w:rFonts w:ascii="Calibri" w:hAnsi="Calibri" w:eastAsia="F1" w:cs="Calibri"/>
      <w:b/>
      <w:bCs/>
      <w:color w:val="345A8A"/>
      <w:sz w:val="32"/>
      <w:szCs w:val="32"/>
      <w:lang w:val="en-US" w:eastAsia="en-US" w:bidi="ar-SA"/>
    </w:rPr>
  </w:style>
  <w:style w:type="paragraph" w:styleId="Heading2">
    <w:name w:val="Heading 2"/>
    <w:qFormat/>
    <w:pPr>
      <w:keepNext/>
      <w:keepLines/>
      <w:widowControl w:val="false"/>
      <w:spacing w:before="200" w:after="0"/>
      <w:outlineLvl w:val="1"/>
    </w:pPr>
    <w:rPr>
      <w:rFonts w:ascii="Calibri" w:hAnsi="Calibri" w:eastAsia="F1" w:cs="Calibri"/>
      <w:b/>
      <w:bCs/>
      <w:color w:val="4F81BD"/>
      <w:sz w:val="32"/>
      <w:szCs w:val="32"/>
      <w:lang w:val="en-US" w:eastAsia="en-US" w:bidi="ar-SA"/>
    </w:rPr>
  </w:style>
  <w:style w:type="paragraph" w:styleId="Heading3">
    <w:name w:val="Heading 3"/>
    <w:qFormat/>
    <w:pPr>
      <w:keepNext/>
      <w:keepLines/>
      <w:widowControl w:val="false"/>
      <w:spacing w:before="200" w:after="0"/>
      <w:outlineLvl w:val="2"/>
    </w:pPr>
    <w:rPr>
      <w:rFonts w:ascii="Calibri" w:hAnsi="Calibri" w:eastAsia="F1" w:cs="Calibri"/>
      <w:b/>
      <w:bCs/>
      <w:color w:val="4F81BD"/>
      <w:sz w:val="28"/>
      <w:szCs w:val="28"/>
      <w:lang w:val="en-US" w:eastAsia="en-US" w:bidi="ar-SA"/>
    </w:rPr>
  </w:style>
  <w:style w:type="paragraph" w:styleId="Heading4">
    <w:name w:val="Heading 4"/>
    <w:qFormat/>
    <w:pPr>
      <w:keepNext/>
      <w:keepLines/>
      <w:widowControl w:val="false"/>
      <w:spacing w:before="200" w:after="0"/>
      <w:outlineLvl w:val="3"/>
    </w:pPr>
    <w:rPr>
      <w:rFonts w:ascii="Calibri" w:hAnsi="Calibri" w:eastAsia="F1" w:cs="Calibri"/>
      <w:b/>
      <w:bCs/>
      <w:color w:val="4F81BD"/>
      <w:sz w:val="24"/>
      <w:szCs w:val="24"/>
      <w:lang w:val="en-US" w:eastAsia="en-US" w:bidi="ar-SA"/>
    </w:rPr>
  </w:style>
  <w:style w:type="paragraph" w:styleId="Heading5">
    <w:name w:val="Heading 5"/>
    <w:qFormat/>
    <w:pPr>
      <w:keepNext/>
      <w:keepLines/>
      <w:widowControl w:val="false"/>
      <w:spacing w:before="200" w:after="0"/>
      <w:outlineLvl w:val="4"/>
    </w:pPr>
    <w:rPr>
      <w:rFonts w:ascii="Calibri" w:hAnsi="Calibri" w:eastAsia="F1" w:cs="Calibri"/>
      <w:i/>
      <w:iCs/>
      <w:color w:val="4F81BD"/>
      <w:sz w:val="24"/>
      <w:szCs w:val="24"/>
      <w:lang w:val="en-US" w:eastAsia="en-US" w:bidi="ar-SA"/>
    </w:rPr>
  </w:style>
  <w:style w:type="paragraph" w:styleId="Heading6">
    <w:name w:val="Heading 6"/>
    <w:qFormat/>
    <w:pPr>
      <w:keepNext/>
      <w:keepLines/>
      <w:widowControl w:val="false"/>
      <w:spacing w:before="200" w:after="0"/>
      <w:outlineLvl w:val="5"/>
    </w:pPr>
    <w:rPr>
      <w:rFonts w:ascii="Calibri" w:hAnsi="Calibri" w:eastAsia="F1" w:cs="Calibri"/>
      <w:color w:val="4F81BD"/>
      <w:sz w:val="24"/>
      <w:szCs w:val="24"/>
      <w:lang w:val="en-US" w:eastAsia="en-US" w:bidi="ar-SA"/>
    </w:rPr>
  </w:style>
  <w:style w:type="character" w:styleId="DefaultParagraphFont" w:default="1">
    <w:name w:val="Default Paragraph Font"/>
    <w:uiPriority w:val="1"/>
    <w:semiHidden/>
    <w:unhideWhenUsed/>
    <w:qFormat/>
    <w:rPr/>
  </w:style>
  <w:style w:type="character" w:styleId="CaptionChar" w:customStyle="1">
    <w:name w:val="Caption Char"/>
    <w:basedOn w:val="DefaultParagraphFont"/>
    <w:qFormat/>
    <w:rPr/>
  </w:style>
  <w:style w:type="character" w:styleId="VerbatimChar" w:customStyle="1">
    <w:name w:val="Verbatim Char"/>
    <w:basedOn w:val="CaptionChar"/>
    <w:qFormat/>
    <w:rPr>
      <w:rFonts w:ascii="Consolas" w:hAnsi="Consolas" w:eastAsia="Consolas" w:cs="Consolas"/>
      <w:sz w:val="22"/>
    </w:rPr>
  </w:style>
  <w:style w:type="character" w:styleId="Footnoteanchor" w:customStyle="1">
    <w:name w:val="Footnote anchor"/>
    <w:basedOn w:val="CaptionChar"/>
    <w:qFormat/>
    <w:rPr>
      <w:vertAlign w:val="superscript"/>
    </w:rPr>
  </w:style>
  <w:style w:type="character" w:styleId="Internetlink" w:customStyle="1">
    <w:name w:val="Internet link"/>
    <w:basedOn w:val="DefaultParagraphFont"/>
    <w:qFormat/>
    <w:rPr>
      <w:color w:val="0000FF"/>
      <w:u w:val="single"/>
    </w:rPr>
  </w:style>
  <w:style w:type="character" w:styleId="KeywordTok" w:customStyle="1">
    <w:name w:val="KeywordTok"/>
    <w:basedOn w:val="VerbatimChar"/>
    <w:qFormat/>
    <w:rPr>
      <w:rFonts w:ascii="Consolas" w:hAnsi="Consolas" w:eastAsia="Consolas" w:cs="Consolas"/>
      <w:b/>
      <w:color w:val="007020"/>
      <w:sz w:val="22"/>
    </w:rPr>
  </w:style>
  <w:style w:type="character" w:styleId="DataTypeTok" w:customStyle="1">
    <w:name w:val="DataTypeTok"/>
    <w:basedOn w:val="VerbatimChar"/>
    <w:qFormat/>
    <w:rPr>
      <w:rFonts w:ascii="Consolas" w:hAnsi="Consolas" w:eastAsia="Consolas" w:cs="Consolas"/>
      <w:color w:val="902000"/>
      <w:sz w:val="22"/>
    </w:rPr>
  </w:style>
  <w:style w:type="character" w:styleId="DecValTok" w:customStyle="1">
    <w:name w:val="DecValTok"/>
    <w:basedOn w:val="VerbatimChar"/>
    <w:qFormat/>
    <w:rPr>
      <w:rFonts w:ascii="Consolas" w:hAnsi="Consolas" w:eastAsia="Consolas" w:cs="Consolas"/>
      <w:color w:val="40A070"/>
      <w:sz w:val="22"/>
    </w:rPr>
  </w:style>
  <w:style w:type="character" w:styleId="BaseNTok" w:customStyle="1">
    <w:name w:val="BaseNTok"/>
    <w:basedOn w:val="VerbatimChar"/>
    <w:qFormat/>
    <w:rPr>
      <w:rFonts w:ascii="Consolas" w:hAnsi="Consolas" w:eastAsia="Consolas" w:cs="Consolas"/>
      <w:color w:val="40A070"/>
      <w:sz w:val="22"/>
    </w:rPr>
  </w:style>
  <w:style w:type="character" w:styleId="FloatTok" w:customStyle="1">
    <w:name w:val="FloatTok"/>
    <w:basedOn w:val="VerbatimChar"/>
    <w:qFormat/>
    <w:rPr>
      <w:rFonts w:ascii="Consolas" w:hAnsi="Consolas" w:eastAsia="Consolas" w:cs="Consolas"/>
      <w:color w:val="40A070"/>
      <w:sz w:val="22"/>
    </w:rPr>
  </w:style>
  <w:style w:type="character" w:styleId="ConstantTok" w:customStyle="1">
    <w:name w:val="ConstantTok"/>
    <w:basedOn w:val="VerbatimChar"/>
    <w:qFormat/>
    <w:rPr>
      <w:rFonts w:ascii="Consolas" w:hAnsi="Consolas" w:eastAsia="Consolas" w:cs="Consolas"/>
      <w:color w:val="880000"/>
      <w:sz w:val="22"/>
    </w:rPr>
  </w:style>
  <w:style w:type="character" w:styleId="CharTok" w:customStyle="1">
    <w:name w:val="CharTok"/>
    <w:basedOn w:val="VerbatimChar"/>
    <w:qFormat/>
    <w:rPr>
      <w:rFonts w:ascii="Consolas" w:hAnsi="Consolas" w:eastAsia="Consolas" w:cs="Consolas"/>
      <w:color w:val="4070A0"/>
      <w:sz w:val="22"/>
    </w:rPr>
  </w:style>
  <w:style w:type="character" w:styleId="SpecialCharTok" w:customStyle="1">
    <w:name w:val="SpecialCharTok"/>
    <w:basedOn w:val="VerbatimChar"/>
    <w:qFormat/>
    <w:rPr>
      <w:rFonts w:ascii="Consolas" w:hAnsi="Consolas" w:eastAsia="Consolas" w:cs="Consolas"/>
      <w:color w:val="4070A0"/>
      <w:sz w:val="22"/>
    </w:rPr>
  </w:style>
  <w:style w:type="character" w:styleId="StringTok" w:customStyle="1">
    <w:name w:val="StringTok"/>
    <w:basedOn w:val="VerbatimChar"/>
    <w:qFormat/>
    <w:rPr>
      <w:rFonts w:ascii="Consolas" w:hAnsi="Consolas" w:eastAsia="Consolas" w:cs="Consolas"/>
      <w:color w:val="4070A0"/>
      <w:sz w:val="22"/>
    </w:rPr>
  </w:style>
  <w:style w:type="character" w:styleId="VerbatimStringTok" w:customStyle="1">
    <w:name w:val="VerbatimStringTok"/>
    <w:basedOn w:val="VerbatimChar"/>
    <w:qFormat/>
    <w:rPr>
      <w:rFonts w:ascii="Consolas" w:hAnsi="Consolas" w:eastAsia="Consolas" w:cs="Consolas"/>
      <w:color w:val="4070A0"/>
      <w:sz w:val="22"/>
    </w:rPr>
  </w:style>
  <w:style w:type="character" w:styleId="SpecialStringTok" w:customStyle="1">
    <w:name w:val="SpecialStringTok"/>
    <w:basedOn w:val="VerbatimChar"/>
    <w:qFormat/>
    <w:rPr>
      <w:rFonts w:ascii="Consolas" w:hAnsi="Consolas" w:eastAsia="Consolas" w:cs="Consolas"/>
      <w:color w:val="BB6688"/>
      <w:sz w:val="22"/>
    </w:rPr>
  </w:style>
  <w:style w:type="character" w:styleId="ImportTok" w:customStyle="1">
    <w:name w:val="ImportTok"/>
    <w:basedOn w:val="VerbatimChar"/>
    <w:qFormat/>
    <w:rPr>
      <w:rFonts w:ascii="Consolas" w:hAnsi="Consolas" w:eastAsia="Consolas" w:cs="Consolas"/>
      <w:sz w:val="22"/>
    </w:rPr>
  </w:style>
  <w:style w:type="character" w:styleId="CommentTok" w:customStyle="1">
    <w:name w:val="CommentTok"/>
    <w:basedOn w:val="VerbatimChar"/>
    <w:qFormat/>
    <w:rPr>
      <w:rFonts w:ascii="Consolas" w:hAnsi="Consolas" w:eastAsia="Consolas" w:cs="Consolas"/>
      <w:i/>
      <w:color w:val="60A0B0"/>
      <w:sz w:val="22"/>
    </w:rPr>
  </w:style>
  <w:style w:type="character" w:styleId="DocumentationTok" w:customStyle="1">
    <w:name w:val="DocumentationTok"/>
    <w:basedOn w:val="VerbatimChar"/>
    <w:qFormat/>
    <w:rPr>
      <w:rFonts w:ascii="Consolas" w:hAnsi="Consolas" w:eastAsia="Consolas" w:cs="Consolas"/>
      <w:i/>
      <w:color w:val="BA2121"/>
      <w:sz w:val="22"/>
    </w:rPr>
  </w:style>
  <w:style w:type="character" w:styleId="AnnotationTok" w:customStyle="1">
    <w:name w:val="AnnotationTok"/>
    <w:basedOn w:val="VerbatimChar"/>
    <w:qFormat/>
    <w:rPr>
      <w:rFonts w:ascii="Consolas" w:hAnsi="Consolas" w:eastAsia="Consolas" w:cs="Consolas"/>
      <w:b/>
      <w:i/>
      <w:color w:val="60A0B0"/>
      <w:sz w:val="22"/>
    </w:rPr>
  </w:style>
  <w:style w:type="character" w:styleId="CommentVarTok" w:customStyle="1">
    <w:name w:val="CommentVarTok"/>
    <w:basedOn w:val="VerbatimChar"/>
    <w:qFormat/>
    <w:rPr>
      <w:rFonts w:ascii="Consolas" w:hAnsi="Consolas" w:eastAsia="Consolas" w:cs="Consolas"/>
      <w:b/>
      <w:i/>
      <w:color w:val="60A0B0"/>
      <w:sz w:val="22"/>
    </w:rPr>
  </w:style>
  <w:style w:type="character" w:styleId="OtherTok" w:customStyle="1">
    <w:name w:val="OtherTok"/>
    <w:basedOn w:val="VerbatimChar"/>
    <w:qFormat/>
    <w:rPr>
      <w:rFonts w:ascii="Consolas" w:hAnsi="Consolas" w:eastAsia="Consolas" w:cs="Consolas"/>
      <w:color w:val="007020"/>
      <w:sz w:val="22"/>
    </w:rPr>
  </w:style>
  <w:style w:type="character" w:styleId="FunctionTok" w:customStyle="1">
    <w:name w:val="FunctionTok"/>
    <w:basedOn w:val="VerbatimChar"/>
    <w:qFormat/>
    <w:rPr>
      <w:rFonts w:ascii="Consolas" w:hAnsi="Consolas" w:eastAsia="Consolas" w:cs="Consolas"/>
      <w:color w:val="06287E"/>
      <w:sz w:val="22"/>
    </w:rPr>
  </w:style>
  <w:style w:type="character" w:styleId="VariableTok" w:customStyle="1">
    <w:name w:val="VariableTok"/>
    <w:basedOn w:val="VerbatimChar"/>
    <w:qFormat/>
    <w:rPr>
      <w:rFonts w:ascii="Consolas" w:hAnsi="Consolas" w:eastAsia="Consolas" w:cs="Consolas"/>
      <w:color w:val="19177C"/>
      <w:sz w:val="22"/>
    </w:rPr>
  </w:style>
  <w:style w:type="character" w:styleId="ControlFlowTok" w:customStyle="1">
    <w:name w:val="ControlFlowTok"/>
    <w:basedOn w:val="VerbatimChar"/>
    <w:qFormat/>
    <w:rPr>
      <w:rFonts w:ascii="Consolas" w:hAnsi="Consolas" w:eastAsia="Consolas" w:cs="Consolas"/>
      <w:b/>
      <w:color w:val="007020"/>
      <w:sz w:val="22"/>
    </w:rPr>
  </w:style>
  <w:style w:type="character" w:styleId="OperatorTok" w:customStyle="1">
    <w:name w:val="OperatorTok"/>
    <w:basedOn w:val="VerbatimChar"/>
    <w:qFormat/>
    <w:rPr>
      <w:rFonts w:ascii="Consolas" w:hAnsi="Consolas" w:eastAsia="Consolas" w:cs="Consolas"/>
      <w:color w:val="666666"/>
      <w:sz w:val="22"/>
    </w:rPr>
  </w:style>
  <w:style w:type="character" w:styleId="BuiltInTok" w:customStyle="1">
    <w:name w:val="BuiltInTok"/>
    <w:basedOn w:val="VerbatimChar"/>
    <w:qFormat/>
    <w:rPr>
      <w:rFonts w:ascii="Consolas" w:hAnsi="Consolas" w:eastAsia="Consolas" w:cs="Consolas"/>
      <w:sz w:val="22"/>
    </w:rPr>
  </w:style>
  <w:style w:type="character" w:styleId="ExtensionTok" w:customStyle="1">
    <w:name w:val="ExtensionTok"/>
    <w:basedOn w:val="VerbatimChar"/>
    <w:qFormat/>
    <w:rPr>
      <w:rFonts w:ascii="Consolas" w:hAnsi="Consolas" w:eastAsia="Consolas" w:cs="Consolas"/>
      <w:sz w:val="22"/>
    </w:rPr>
  </w:style>
  <w:style w:type="character" w:styleId="PreprocessorTok" w:customStyle="1">
    <w:name w:val="PreprocessorTok"/>
    <w:basedOn w:val="VerbatimChar"/>
    <w:qFormat/>
    <w:rPr>
      <w:rFonts w:ascii="Consolas" w:hAnsi="Consolas" w:eastAsia="Consolas" w:cs="Consolas"/>
      <w:color w:val="BC7A00"/>
      <w:sz w:val="22"/>
    </w:rPr>
  </w:style>
  <w:style w:type="character" w:styleId="AttributeTok" w:customStyle="1">
    <w:name w:val="AttributeTok"/>
    <w:basedOn w:val="VerbatimChar"/>
    <w:qFormat/>
    <w:rPr>
      <w:rFonts w:ascii="Consolas" w:hAnsi="Consolas" w:eastAsia="Consolas" w:cs="Consolas"/>
      <w:color w:val="7D9029"/>
      <w:sz w:val="22"/>
    </w:rPr>
  </w:style>
  <w:style w:type="character" w:styleId="RegionMarkerTok" w:customStyle="1">
    <w:name w:val="RegionMarkerTok"/>
    <w:basedOn w:val="VerbatimChar"/>
    <w:qFormat/>
    <w:rPr>
      <w:rFonts w:ascii="Consolas" w:hAnsi="Consolas" w:eastAsia="Consolas" w:cs="Consolas"/>
      <w:sz w:val="22"/>
    </w:rPr>
  </w:style>
  <w:style w:type="character" w:styleId="InformationTok" w:customStyle="1">
    <w:name w:val="InformationTok"/>
    <w:basedOn w:val="VerbatimChar"/>
    <w:qFormat/>
    <w:rPr>
      <w:rFonts w:ascii="Consolas" w:hAnsi="Consolas" w:eastAsia="Consolas" w:cs="Consolas"/>
      <w:b/>
      <w:i/>
      <w:color w:val="60A0B0"/>
      <w:sz w:val="22"/>
    </w:rPr>
  </w:style>
  <w:style w:type="character" w:styleId="WarningTok" w:customStyle="1">
    <w:name w:val="WarningTok"/>
    <w:basedOn w:val="VerbatimChar"/>
    <w:qFormat/>
    <w:rPr>
      <w:rFonts w:ascii="Consolas" w:hAnsi="Consolas" w:eastAsia="Consolas" w:cs="Consolas"/>
      <w:b/>
      <w:i/>
      <w:color w:val="60A0B0"/>
      <w:sz w:val="22"/>
    </w:rPr>
  </w:style>
  <w:style w:type="character" w:styleId="AlertTok" w:customStyle="1">
    <w:name w:val="AlertTok"/>
    <w:basedOn w:val="VerbatimChar"/>
    <w:qFormat/>
    <w:rPr>
      <w:rFonts w:ascii="Consolas" w:hAnsi="Consolas" w:eastAsia="Consolas" w:cs="Consolas"/>
      <w:b/>
      <w:color w:val="FF0000"/>
      <w:sz w:val="22"/>
    </w:rPr>
  </w:style>
  <w:style w:type="character" w:styleId="ErrorTok" w:customStyle="1">
    <w:name w:val="ErrorTok"/>
    <w:basedOn w:val="VerbatimChar"/>
    <w:qFormat/>
    <w:rPr>
      <w:rFonts w:ascii="Consolas" w:hAnsi="Consolas" w:eastAsia="Consolas" w:cs="Consolas"/>
      <w:b/>
      <w:color w:val="FF0000"/>
      <w:sz w:val="22"/>
    </w:rPr>
  </w:style>
  <w:style w:type="character" w:styleId="NormalTok" w:customStyle="1">
    <w:name w:val="NormalTok"/>
    <w:basedOn w:val="VerbatimChar"/>
    <w:qFormat/>
    <w:rPr>
      <w:rFonts w:ascii="Consolas" w:hAnsi="Consolas" w:eastAsia="Consolas" w:cs="Consolas"/>
      <w:sz w:val="22"/>
    </w:rPr>
  </w:style>
  <w:style w:type="character" w:styleId="Strong">
    <w:name w:val="Strong"/>
    <w:basedOn w:val="DefaultParagraphFont"/>
    <w:qFormat/>
    <w:rPr>
      <w:b/>
      <w:bCs/>
    </w:rPr>
  </w:style>
  <w:style w:type="character" w:styleId="Sender" w:customStyle="1">
    <w:name w:val="sender"/>
    <w:basedOn w:val="DefaultParagraphFont"/>
    <w:qFormat/>
    <w:rPr/>
  </w:style>
  <w:style w:type="character" w:styleId="FollowedHyperlink">
    <w:name w:val="FollowedHyperlink"/>
    <w:basedOn w:val="DefaultParagraphFont"/>
    <w:qFormat/>
    <w:rPr>
      <w:color w:val="800080"/>
      <w:u w:val="single"/>
    </w:rPr>
  </w:style>
  <w:style w:type="character" w:styleId="BalloonTextChar" w:customStyle="1">
    <w:name w:val="Balloon Text Char"/>
    <w:basedOn w:val="DefaultParagraphFont"/>
    <w:qFormat/>
    <w:rPr>
      <w:rFonts w:ascii="Segoe UI" w:hAnsi="Segoe UI" w:eastAsia="Segoe UI" w:cs="Segoe UI"/>
      <w:color w:val="00000A"/>
      <w:sz w:val="18"/>
      <w:szCs w:val="18"/>
    </w:rPr>
  </w:style>
  <w:style w:type="character" w:styleId="ListLabel1" w:customStyle="1">
    <w:name w:val="ListLabel 1"/>
    <w:qFormat/>
    <w:rPr>
      <w:sz w:val="26"/>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color w:val="0000FF"/>
      <w:sz w:val="30"/>
      <w:u w:val="single"/>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eastAsia="Calibri" w:cs="Arial"/>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Symbol"/>
      <w:sz w:val="26"/>
    </w:rPr>
  </w:style>
  <w:style w:type="character" w:styleId="ListLabel37" w:customStyle="1">
    <w:name w:val="ListLabel 37"/>
    <w:qFormat/>
    <w:rPr>
      <w:rFonts w:cs="Courier New"/>
      <w:sz w:val="20"/>
    </w:rPr>
  </w:style>
  <w:style w:type="character" w:styleId="ListLabel38" w:customStyle="1">
    <w:name w:val="ListLabel 38"/>
    <w:qFormat/>
    <w:rPr>
      <w:rFonts w:cs="Wingdings"/>
      <w:sz w:val="20"/>
    </w:rPr>
  </w:style>
  <w:style w:type="character" w:styleId="ListLabel39" w:customStyle="1">
    <w:name w:val="ListLabel 39"/>
    <w:qFormat/>
    <w:rPr>
      <w:rFonts w:cs="Wingdings"/>
      <w:sz w:val="20"/>
    </w:rPr>
  </w:style>
  <w:style w:type="character" w:styleId="ListLabel40" w:customStyle="1">
    <w:name w:val="ListLabel 40"/>
    <w:qFormat/>
    <w:rPr>
      <w:rFonts w:cs="Wingdings"/>
      <w:sz w:val="20"/>
    </w:rPr>
  </w:style>
  <w:style w:type="character" w:styleId="ListLabel41" w:customStyle="1">
    <w:name w:val="ListLabel 41"/>
    <w:qFormat/>
    <w:rPr>
      <w:rFonts w:cs="Wingdings"/>
      <w:sz w:val="20"/>
    </w:rPr>
  </w:style>
  <w:style w:type="character" w:styleId="ListLabel42" w:customStyle="1">
    <w:name w:val="ListLabel 42"/>
    <w:qFormat/>
    <w:rPr>
      <w:rFonts w:cs="Wingdings"/>
      <w:sz w:val="20"/>
    </w:rPr>
  </w:style>
  <w:style w:type="character" w:styleId="ListLabel43" w:customStyle="1">
    <w:name w:val="ListLabel 43"/>
    <w:qFormat/>
    <w:rPr>
      <w:rFonts w:cs="Wingdings"/>
      <w:sz w:val="20"/>
    </w:rPr>
  </w:style>
  <w:style w:type="character" w:styleId="ListLabel44" w:customStyle="1">
    <w:name w:val="ListLabel 44"/>
    <w:qFormat/>
    <w:rPr>
      <w:rFonts w:cs="Wingdings"/>
      <w:sz w:val="20"/>
    </w:rPr>
  </w:style>
  <w:style w:type="character" w:styleId="ListLabel45" w:customStyle="1">
    <w:name w:val="ListLabel 45"/>
    <w:qFormat/>
    <w:rPr>
      <w:color w:val="0000FF"/>
      <w:sz w:val="30"/>
      <w:u w:val="single"/>
    </w:rPr>
  </w:style>
  <w:style w:type="character" w:styleId="ListLabel46" w:customStyle="1">
    <w:name w:val="ListLabel 46"/>
    <w:qFormat/>
    <w:rPr>
      <w:rFonts w:cs="Symbol"/>
      <w:sz w:val="26"/>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sz w:val="26"/>
    </w:rPr>
  </w:style>
  <w:style w:type="character" w:styleId="ListLabel56" w:customStyle="1">
    <w:name w:val="ListLabel 56"/>
    <w:qFormat/>
    <w:rPr>
      <w:rFonts w:cs="Courier New"/>
      <w:sz w:val="20"/>
    </w:rPr>
  </w:style>
  <w:style w:type="character" w:styleId="ListLabel57" w:customStyle="1">
    <w:name w:val="ListLabel 57"/>
    <w:qFormat/>
    <w:rPr>
      <w:rFonts w:cs="Wingdings"/>
      <w:sz w:val="20"/>
    </w:rPr>
  </w:style>
  <w:style w:type="character" w:styleId="ListLabel58" w:customStyle="1">
    <w:name w:val="ListLabel 58"/>
    <w:qFormat/>
    <w:rPr>
      <w:rFonts w:cs="Wingdings"/>
      <w:sz w:val="20"/>
    </w:rPr>
  </w:style>
  <w:style w:type="character" w:styleId="ListLabel59" w:customStyle="1">
    <w:name w:val="ListLabel 59"/>
    <w:qFormat/>
    <w:rPr>
      <w:rFonts w:cs="Wingdings"/>
      <w:sz w:val="20"/>
    </w:rPr>
  </w:style>
  <w:style w:type="character" w:styleId="ListLabel60" w:customStyle="1">
    <w:name w:val="ListLabel 60"/>
    <w:qFormat/>
    <w:rPr>
      <w:rFonts w:cs="Wingdings"/>
      <w:sz w:val="20"/>
    </w:rPr>
  </w:style>
  <w:style w:type="character" w:styleId="ListLabel61" w:customStyle="1">
    <w:name w:val="ListLabel 61"/>
    <w:qFormat/>
    <w:rPr>
      <w:rFonts w:cs="Wingdings"/>
      <w:sz w:val="20"/>
    </w:rPr>
  </w:style>
  <w:style w:type="character" w:styleId="ListLabel62" w:customStyle="1">
    <w:name w:val="ListLabel 62"/>
    <w:qFormat/>
    <w:rPr>
      <w:rFonts w:cs="Wingdings"/>
      <w:sz w:val="20"/>
    </w:rPr>
  </w:style>
  <w:style w:type="character" w:styleId="ListLabel63" w:customStyle="1">
    <w:name w:val="ListLabel 63"/>
    <w:qFormat/>
    <w:rPr>
      <w:rFonts w:cs="Wingdings"/>
      <w:sz w:val="20"/>
    </w:rPr>
  </w:style>
  <w:style w:type="character" w:styleId="ListLabel64" w:customStyle="1">
    <w:name w:val="ListLabel 64"/>
    <w:qFormat/>
    <w:rPr>
      <w:color w:val="0000FF"/>
      <w:sz w:val="30"/>
      <w:u w:val="single"/>
    </w:rPr>
  </w:style>
  <w:style w:type="character" w:styleId="ListLabel65" w:customStyle="1">
    <w:name w:val="ListLabel 65"/>
    <w:qFormat/>
    <w:rPr>
      <w:rFonts w:cs="Symbol"/>
      <w:sz w:val="26"/>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sz w:val="26"/>
    </w:rPr>
  </w:style>
  <w:style w:type="character" w:styleId="ListLabel75" w:customStyle="1">
    <w:name w:val="ListLabel 75"/>
    <w:qFormat/>
    <w:rPr>
      <w:rFonts w:cs="Courier New"/>
      <w:sz w:val="20"/>
    </w:rPr>
  </w:style>
  <w:style w:type="character" w:styleId="ListLabel76" w:customStyle="1">
    <w:name w:val="ListLabel 76"/>
    <w:qFormat/>
    <w:rPr>
      <w:rFonts w:cs="Wingdings"/>
      <w:sz w:val="20"/>
    </w:rPr>
  </w:style>
  <w:style w:type="character" w:styleId="ListLabel77" w:customStyle="1">
    <w:name w:val="ListLabel 77"/>
    <w:qFormat/>
    <w:rPr>
      <w:rFonts w:cs="Wingdings"/>
      <w:sz w:val="20"/>
    </w:rPr>
  </w:style>
  <w:style w:type="character" w:styleId="ListLabel78" w:customStyle="1">
    <w:name w:val="ListLabel 78"/>
    <w:qFormat/>
    <w:rPr>
      <w:rFonts w:cs="Wingdings"/>
      <w:sz w:val="20"/>
    </w:rPr>
  </w:style>
  <w:style w:type="character" w:styleId="ListLabel79" w:customStyle="1">
    <w:name w:val="ListLabel 79"/>
    <w:qFormat/>
    <w:rPr>
      <w:rFonts w:cs="Wingdings"/>
      <w:sz w:val="20"/>
    </w:rPr>
  </w:style>
  <w:style w:type="character" w:styleId="ListLabel80" w:customStyle="1">
    <w:name w:val="ListLabel 80"/>
    <w:qFormat/>
    <w:rPr>
      <w:rFonts w:cs="Wingdings"/>
      <w:sz w:val="20"/>
    </w:rPr>
  </w:style>
  <w:style w:type="character" w:styleId="ListLabel81" w:customStyle="1">
    <w:name w:val="ListLabel 81"/>
    <w:qFormat/>
    <w:rPr>
      <w:rFonts w:cs="Wingdings"/>
      <w:sz w:val="20"/>
    </w:rPr>
  </w:style>
  <w:style w:type="character" w:styleId="ListLabel82" w:customStyle="1">
    <w:name w:val="ListLabel 82"/>
    <w:qFormat/>
    <w:rPr>
      <w:rFonts w:cs="Wingdings"/>
      <w:sz w:val="20"/>
    </w:rPr>
  </w:style>
  <w:style w:type="character" w:styleId="ListLabel83" w:customStyle="1">
    <w:name w:val="ListLabel 83"/>
    <w:qFormat/>
    <w:rPr>
      <w:color w:val="0000FF"/>
      <w:sz w:val="30"/>
      <w:u w:val="single"/>
    </w:rPr>
  </w:style>
  <w:style w:type="character" w:styleId="ListLabel84" w:customStyle="1">
    <w:name w:val="ListLabel 84"/>
    <w:qFormat/>
    <w:rPr>
      <w:rFonts w:cs="Symbol"/>
      <w:sz w:val="26"/>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Emphasis">
    <w:name w:val="Emphasis"/>
    <w:basedOn w:val="DefaultParagraphFont"/>
    <w:qFormat/>
    <w:rPr>
      <w:i/>
      <w:iCs/>
    </w:rPr>
  </w:style>
  <w:style w:type="character" w:styleId="InternetLink1">
    <w:name w:val="Internet Link"/>
    <w:basedOn w:val="DefaultParagraphFont"/>
    <w:uiPriority w:val="99"/>
    <w:rPr>
      <w:color w:val="0000FF"/>
      <w:u w:val="single"/>
    </w:rPr>
  </w:style>
  <w:style w:type="character" w:styleId="PlainTextChar" w:customStyle="1">
    <w:name w:val="Plain Text Char"/>
    <w:basedOn w:val="DefaultParagraphFont"/>
    <w:qFormat/>
    <w:rPr>
      <w:rFonts w:ascii="Calibri" w:hAnsi="Calibri" w:eastAsia="Calibri" w:cs="Arial"/>
      <w:sz w:val="22"/>
      <w:szCs w:val="21"/>
    </w:rPr>
  </w:style>
  <w:style w:type="character" w:styleId="M3611168110991702827gmailm6938349615502815457m4219706416507403400gmailhoenzb" w:customStyle="1">
    <w:name w:val="m_-3611168110991702827gmail-m_6938349615502815457m_4219706416507403400gmail-hoenzb"/>
    <w:basedOn w:val="DefaultParagraphFont"/>
    <w:qFormat/>
    <w:rPr/>
  </w:style>
  <w:style w:type="character" w:styleId="S1" w:customStyle="1">
    <w:name w:val="s1"/>
    <w:basedOn w:val="DefaultParagraphFont"/>
    <w:qFormat/>
    <w:rPr/>
  </w:style>
  <w:style w:type="character" w:styleId="Ydpb451bc2ayiv1368591831ydp3e980f0fngbinding" w:customStyle="1">
    <w:name w:val="ydpb451bc2ayiv1368591831ydp3e980f0fng-binding"/>
    <w:basedOn w:val="DefaultParagraphFont"/>
    <w:qFormat/>
    <w:rPr/>
  </w:style>
  <w:style w:type="character" w:styleId="Gmailnormaltextrun" w:customStyle="1">
    <w:name w:val="gmail-normaltextrun"/>
    <w:basedOn w:val="DefaultParagraphFont"/>
    <w:qFormat/>
    <w:rPr/>
  </w:style>
  <w:style w:type="character" w:styleId="Gmailspellingerror" w:customStyle="1">
    <w:name w:val="gmail-spellingerror"/>
    <w:basedOn w:val="DefaultParagraphFont"/>
    <w:qFormat/>
    <w:rPr/>
  </w:style>
  <w:style w:type="character" w:styleId="Gmaildefault" w:customStyle="1">
    <w:name w:val="gmail_default"/>
    <w:basedOn w:val="DefaultParagraphFont"/>
    <w:qFormat/>
    <w:rPr/>
  </w:style>
  <w:style w:type="character" w:styleId="Size" w:customStyle="1">
    <w:name w:val="size"/>
    <w:basedOn w:val="DefaultParagraphFont"/>
    <w:qFormat/>
    <w:rPr/>
  </w:style>
  <w:style w:type="character" w:styleId="X1415987484size" w:customStyle="1">
    <w:name w:val="x_1415987484size"/>
    <w:basedOn w:val="DefaultParagraphFont"/>
    <w:qFormat/>
    <w:rPr/>
  </w:style>
  <w:style w:type="character" w:styleId="X1890294019colour" w:customStyle="1">
    <w:name w:val="x_-1890294019colour"/>
    <w:basedOn w:val="DefaultParagraphFont"/>
    <w:qFormat/>
    <w:rPr/>
  </w:style>
  <w:style w:type="character" w:styleId="Gmailim" w:customStyle="1">
    <w:name w:val="gmail-im"/>
    <w:basedOn w:val="DefaultParagraphFont"/>
    <w:qFormat/>
    <w:rPr/>
  </w:style>
  <w:style w:type="character" w:styleId="X301944928size" w:customStyle="1">
    <w:name w:val="x_301944928size"/>
    <w:basedOn w:val="DefaultParagraphFont"/>
    <w:qFormat/>
    <w:rPr/>
  </w:style>
  <w:style w:type="character" w:styleId="X1207831908font" w:customStyle="1">
    <w:name w:val="x_1207831908font"/>
    <w:basedOn w:val="DefaultParagraphFont"/>
    <w:qFormat/>
    <w:rPr/>
  </w:style>
  <w:style w:type="character" w:styleId="HTMLPreformattedChar" w:customStyle="1">
    <w:name w:val="HTML Preformatted Char"/>
    <w:basedOn w:val="DefaultParagraphFont"/>
    <w:qFormat/>
    <w:rPr>
      <w:rFonts w:ascii="Courier New" w:hAnsi="Courier New" w:eastAsia="Calibri" w:cs="Courier New"/>
      <w:sz w:val="20"/>
      <w:szCs w:val="20"/>
    </w:rPr>
  </w:style>
  <w:style w:type="character" w:styleId="T14" w:customStyle="1">
    <w:name w:val="t-14"/>
    <w:basedOn w:val="DefaultParagraphFont"/>
    <w:qFormat/>
    <w:rPr/>
  </w:style>
  <w:style w:type="character" w:styleId="Font" w:customStyle="1">
    <w:name w:val="font"/>
    <w:basedOn w:val="DefaultParagraphFont"/>
    <w:qFormat/>
    <w:rPr/>
  </w:style>
  <w:style w:type="character" w:styleId="X1681844939size" w:customStyle="1">
    <w:name w:val="x_1681844939size"/>
    <w:basedOn w:val="DefaultParagraphFont"/>
    <w:qFormat/>
    <w:rPr/>
  </w:style>
  <w:style w:type="character" w:styleId="X1681844939highlight" w:customStyle="1">
    <w:name w:val="x_1681844939highlight"/>
    <w:basedOn w:val="DefaultParagraphFont"/>
    <w:qFormat/>
    <w:rPr/>
  </w:style>
  <w:style w:type="character" w:styleId="Gmailm8958706436122289010gmailm7106313299264128696gmailtlidtranslation" w:customStyle="1">
    <w:name w:val="gmail-m_-8958706436122289010gmail-m_7106313299264128696gmail-tlid-translation"/>
    <w:basedOn w:val="DefaultParagraphFont"/>
    <w:qFormat/>
    <w:rPr/>
  </w:style>
  <w:style w:type="character" w:styleId="X802486221size" w:customStyle="1">
    <w:name w:val="x_-802486221size"/>
    <w:basedOn w:val="DefaultParagraphFont"/>
    <w:qFormat/>
    <w:rPr/>
  </w:style>
  <w:style w:type="character" w:styleId="S2" w:customStyle="1">
    <w:name w:val="s2"/>
    <w:basedOn w:val="DefaultParagraphFont"/>
    <w:qFormat/>
    <w:rPr/>
  </w:style>
  <w:style w:type="character" w:styleId="X336836387size" w:customStyle="1">
    <w:name w:val="x_336836387size"/>
    <w:basedOn w:val="DefaultParagraphFont"/>
    <w:qFormat/>
    <w:rPr/>
  </w:style>
  <w:style w:type="character" w:styleId="X336836387font" w:customStyle="1">
    <w:name w:val="x_336836387font"/>
    <w:basedOn w:val="DefaultParagraphFont"/>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X434957234size" w:customStyle="1">
    <w:name w:val="x_434957234size"/>
    <w:basedOn w:val="DefaultParagraphFont"/>
    <w:qFormat/>
    <w:rPr/>
  </w:style>
  <w:style w:type="character" w:styleId="Colour" w:customStyle="1">
    <w:name w:val="colour"/>
    <w:basedOn w:val="DefaultParagraphFont"/>
    <w:qFormat/>
    <w:rsid w:val="001e66dd"/>
    <w:rPr/>
  </w:style>
  <w:style w:type="character" w:styleId="Nc684nl6" w:customStyle="1">
    <w:name w:val="nc684nl6"/>
    <w:basedOn w:val="DefaultParagraphFont"/>
    <w:qFormat/>
    <w:rsid w:val="004d3bc5"/>
    <w:rPr/>
  </w:style>
  <w:style w:type="character" w:styleId="Gmailil" w:customStyle="1">
    <w:name w:val="gmail-il"/>
    <w:basedOn w:val="DefaultParagraphFont"/>
    <w:qFormat/>
    <w:rsid w:val="00643d1f"/>
    <w:rPr/>
  </w:style>
  <w:style w:type="character" w:styleId="Wordsection1Char" w:customStyle="1">
    <w:name w:val="wordsection1 Char"/>
    <w:basedOn w:val="DefaultParagraphFont"/>
    <w:link w:val="wordsection1"/>
    <w:uiPriority w:val="99"/>
    <w:qFormat/>
    <w:locked/>
    <w:rsid w:val="00e50bb9"/>
    <w:rPr>
      <w:rFonts w:ascii="Times New Roman" w:hAnsi="Times New Roman" w:eastAsia="Calibri" w:cs="Times New Roman"/>
    </w:rPr>
  </w:style>
  <w:style w:type="character" w:styleId="ListLabel93">
    <w:name w:val="ListLabel 93"/>
    <w:qFormat/>
    <w:rPr>
      <w:rFonts w:eastAsia="Cambria" w:cs="Times New Roman"/>
      <w:sz w:val="26"/>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paragraph" w:styleId="Heading" w:customStyle="1">
    <w:name w:val="Heading"/>
    <w:basedOn w:val="Standard"/>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rFonts w:cs="Lohit Devanagari"/>
    </w:rPr>
  </w:style>
  <w:style w:type="paragraph" w:styleId="Standard" w:customStyle="1">
    <w:name w:val="Standard"/>
    <w:qFormat/>
    <w:pPr>
      <w:widowControl/>
      <w:suppressAutoHyphens w:val="true"/>
      <w:bidi w:val="0"/>
      <w:spacing w:before="0" w:after="200"/>
      <w:jc w:val="left"/>
    </w:pPr>
    <w:rPr>
      <w:rFonts w:ascii="Cambria" w:hAnsi="Cambria" w:eastAsia="Cambria" w:cs="F1"/>
      <w:color w:val="00000A"/>
      <w:sz w:val="24"/>
      <w:szCs w:val="24"/>
      <w:lang w:val="en-US" w:eastAsia="en-US" w:bidi="ar-SA"/>
    </w:rPr>
  </w:style>
  <w:style w:type="paragraph" w:styleId="Textbody1" w:customStyle="1">
    <w:name w:val="Text body"/>
    <w:basedOn w:val="Standard"/>
    <w:qFormat/>
    <w:pPr>
      <w:spacing w:before="180" w:after="180"/>
    </w:pPr>
    <w:rPr/>
  </w:style>
  <w:style w:type="paragraph" w:styleId="Caption1">
    <w:name w:val="caption"/>
    <w:basedOn w:val="Standard"/>
    <w:qFormat/>
    <w:pPr>
      <w:spacing w:before="0" w:after="120"/>
    </w:pPr>
    <w:rPr>
      <w:i/>
    </w:rPr>
  </w:style>
  <w:style w:type="paragraph" w:styleId="FirstParagraph" w:customStyle="1">
    <w:name w:val="First Paragraph"/>
    <w:basedOn w:val="Textbody1"/>
    <w:qFormat/>
    <w:pPr/>
    <w:rPr/>
  </w:style>
  <w:style w:type="paragraph" w:styleId="Compact" w:customStyle="1">
    <w:name w:val="Compact"/>
    <w:basedOn w:val="Textbody1"/>
    <w:qFormat/>
    <w:pPr>
      <w:spacing w:before="36" w:after="36"/>
    </w:pPr>
    <w:rPr/>
  </w:style>
  <w:style w:type="paragraph" w:styleId="Title">
    <w:name w:val="Title"/>
    <w:basedOn w:val="Standard"/>
    <w:qFormat/>
    <w:pPr>
      <w:keepNext/>
      <w:keepLines/>
      <w:spacing w:before="480" w:after="240"/>
      <w:jc w:val="center"/>
    </w:pPr>
    <w:rPr>
      <w:rFonts w:ascii="Calibri" w:hAnsi="Calibri" w:eastAsia="F1" w:cs="Calibri"/>
      <w:b/>
      <w:bCs/>
      <w:color w:val="345A8A"/>
      <w:sz w:val="36"/>
      <w:szCs w:val="36"/>
    </w:rPr>
  </w:style>
  <w:style w:type="paragraph" w:styleId="Subtitle">
    <w:name w:val="Subtitle"/>
    <w:basedOn w:val="Title"/>
    <w:qFormat/>
    <w:pPr>
      <w:spacing w:before="240" w:after="0"/>
    </w:pPr>
    <w:rPr>
      <w:sz w:val="30"/>
      <w:szCs w:val="30"/>
    </w:rPr>
  </w:style>
  <w:style w:type="paragraph" w:styleId="Author" w:customStyle="1">
    <w:name w:val="Author"/>
    <w:qFormat/>
    <w:pPr>
      <w:keepNext/>
      <w:keepLines/>
      <w:widowControl/>
      <w:suppressAutoHyphens w:val="true"/>
      <w:bidi w:val="0"/>
      <w:jc w:val="center"/>
    </w:pPr>
    <w:rPr>
      <w:rFonts w:ascii="Cambria" w:hAnsi="Cambria" w:eastAsia="Cambria" w:cs="F1"/>
      <w:color w:val="00000A"/>
      <w:sz w:val="24"/>
      <w:szCs w:val="24"/>
      <w:lang w:val="en-US" w:eastAsia="en-US" w:bidi="ar-SA"/>
    </w:rPr>
  </w:style>
  <w:style w:type="paragraph" w:styleId="Date">
    <w:name w:val="Date"/>
    <w:qFormat/>
    <w:pPr>
      <w:keepNext/>
      <w:keepLines/>
      <w:widowControl/>
      <w:suppressAutoHyphens w:val="true"/>
      <w:bidi w:val="0"/>
      <w:jc w:val="center"/>
    </w:pPr>
    <w:rPr>
      <w:rFonts w:ascii="Cambria" w:hAnsi="Cambria" w:eastAsia="Cambria" w:cs="F1"/>
      <w:color w:val="00000A"/>
      <w:sz w:val="24"/>
      <w:szCs w:val="24"/>
      <w:lang w:val="en-US" w:eastAsia="en-US" w:bidi="ar-SA"/>
    </w:rPr>
  </w:style>
  <w:style w:type="paragraph" w:styleId="Abstract" w:customStyle="1">
    <w:name w:val="Abstract"/>
    <w:basedOn w:val="Standard"/>
    <w:qFormat/>
    <w:pPr>
      <w:keepNext/>
      <w:keepLines/>
      <w:spacing w:before="300" w:after="300"/>
    </w:pPr>
    <w:rPr>
      <w:sz w:val="20"/>
      <w:szCs w:val="20"/>
    </w:rPr>
  </w:style>
  <w:style w:type="paragraph" w:styleId="Bibliography">
    <w:name w:val="Bibliography"/>
    <w:basedOn w:val="Standard"/>
    <w:qFormat/>
    <w:pPr/>
    <w:rPr/>
  </w:style>
  <w:style w:type="paragraph" w:styleId="BlockText">
    <w:name w:val="Block Text"/>
    <w:basedOn w:val="Textbody1"/>
    <w:qFormat/>
    <w:pPr>
      <w:spacing w:before="100" w:after="100"/>
    </w:pPr>
    <w:rPr>
      <w:rFonts w:ascii="Calibri" w:hAnsi="Calibri" w:eastAsia="F1" w:cs="Calibri"/>
      <w:bCs/>
      <w:sz w:val="20"/>
      <w:szCs w:val="20"/>
    </w:rPr>
  </w:style>
  <w:style w:type="paragraph" w:styleId="Footnotetext">
    <w:name w:val="footnote text"/>
    <w:basedOn w:val="Standard"/>
    <w:qFormat/>
    <w:pPr/>
    <w:rPr/>
  </w:style>
  <w:style w:type="paragraph" w:styleId="DefinitionTerm" w:customStyle="1">
    <w:name w:val="Definition Term"/>
    <w:basedOn w:val="Standard"/>
    <w:qFormat/>
    <w:pPr>
      <w:keepNext/>
      <w:keepLines/>
      <w:spacing w:before="0" w:after="0"/>
    </w:pPr>
    <w:rPr>
      <w:b/>
    </w:rPr>
  </w:style>
  <w:style w:type="paragraph" w:styleId="Definition" w:customStyle="1">
    <w:name w:val="Definition"/>
    <w:basedOn w:val="Standard"/>
    <w:qFormat/>
    <w:pPr/>
    <w:rPr/>
  </w:style>
  <w:style w:type="paragraph" w:styleId="TableCaption" w:customStyle="1">
    <w:name w:val="Table Caption"/>
    <w:basedOn w:val="Caption1"/>
    <w:qFormat/>
    <w:pPr>
      <w:keepNext/>
    </w:pPr>
    <w:rPr/>
  </w:style>
  <w:style w:type="paragraph" w:styleId="ImageCaption" w:customStyle="1">
    <w:name w:val="Image Caption"/>
    <w:basedOn w:val="Caption1"/>
    <w:qFormat/>
    <w:pPr/>
    <w:rPr/>
  </w:style>
  <w:style w:type="paragraph" w:styleId="Figure" w:customStyle="1">
    <w:name w:val="Figure"/>
    <w:basedOn w:val="Standard"/>
    <w:qFormat/>
    <w:pPr/>
    <w:rPr/>
  </w:style>
  <w:style w:type="paragraph" w:styleId="FigurewithCaption" w:customStyle="1">
    <w:name w:val="Figure with Caption"/>
    <w:basedOn w:val="Figure"/>
    <w:qFormat/>
    <w:pPr>
      <w:keepNext/>
    </w:pPr>
    <w:rPr/>
  </w:style>
  <w:style w:type="paragraph" w:styleId="TOCHeading">
    <w:name w:val="TOC Heading"/>
    <w:basedOn w:val="Heading1"/>
    <w:qFormat/>
    <w:pPr>
      <w:spacing w:before="240" w:after="0"/>
    </w:pPr>
    <w:rPr>
      <w:b w:val="false"/>
      <w:bCs w:val="false"/>
      <w:color w:val="365F91"/>
    </w:rPr>
  </w:style>
  <w:style w:type="paragraph" w:styleId="SourceCode" w:customStyle="1">
    <w:name w:val="Source Code"/>
    <w:basedOn w:val="Standard"/>
    <w:qFormat/>
    <w:pPr/>
    <w:rPr/>
  </w:style>
  <w:style w:type="paragraph" w:styleId="TableContents" w:customStyle="1">
    <w:name w:val="Table Contents"/>
    <w:basedOn w:val="Standard"/>
    <w:qFormat/>
    <w:pPr>
      <w:spacing w:before="0" w:after="0"/>
    </w:pPr>
    <w:rPr/>
  </w:style>
  <w:style w:type="paragraph" w:styleId="TableHeading" w:customStyle="1">
    <w:name w:val="Table Heading"/>
    <w:basedOn w:val="TableContents"/>
    <w:qFormat/>
    <w:pPr/>
    <w:rPr/>
  </w:style>
  <w:style w:type="paragraph" w:styleId="ListParagraph">
    <w:name w:val="List Paragraph"/>
    <w:basedOn w:val="Standard"/>
    <w:uiPriority w:val="34"/>
    <w:qFormat/>
    <w:pPr>
      <w:ind w:left="720" w:hanging="0"/>
    </w:pPr>
    <w:rPr/>
  </w:style>
  <w:style w:type="paragraph" w:styleId="NoSpacing">
    <w:name w:val="No Spacing"/>
    <w:basedOn w:val="Standard"/>
    <w:qFormat/>
    <w:pPr>
      <w:spacing w:before="0" w:after="0"/>
    </w:pPr>
    <w:rPr>
      <w:rFonts w:ascii="Calibri" w:hAnsi="Calibri" w:eastAsia="Calibri" w:cs="Times New Roman"/>
      <w:sz w:val="22"/>
      <w:szCs w:val="22"/>
    </w:rPr>
  </w:style>
  <w:style w:type="paragraph" w:styleId="Default" w:customStyle="1">
    <w:name w:val="Default"/>
    <w:qFormat/>
    <w:pPr>
      <w:widowControl/>
      <w:suppressAutoHyphens w:val="true"/>
      <w:bidi w:val="0"/>
      <w:jc w:val="left"/>
    </w:pPr>
    <w:rPr>
      <w:rFonts w:ascii="Calibri" w:hAnsi="Calibri" w:eastAsia="Calibri" w:cs="Calibri"/>
      <w:color w:val="000000"/>
      <w:sz w:val="24"/>
      <w:szCs w:val="24"/>
      <w:lang w:val="en-US" w:eastAsia="en-US" w:bidi="ar-SA"/>
    </w:rPr>
  </w:style>
  <w:style w:type="paragraph" w:styleId="NormalWeb">
    <w:name w:val="Normal (Web)"/>
    <w:basedOn w:val="Standard"/>
    <w:qFormat/>
    <w:pPr>
      <w:spacing w:before="280" w:after="280"/>
    </w:pPr>
    <w:rPr>
      <w:rFonts w:ascii="Times New Roman" w:hAnsi="Times New Roman" w:eastAsia="Times New Roman" w:cs="Times New Roman"/>
    </w:rPr>
  </w:style>
  <w:style w:type="paragraph" w:styleId="BalloonText">
    <w:name w:val="Balloon Text"/>
    <w:basedOn w:val="Standard"/>
    <w:qFormat/>
    <w:pPr>
      <w:spacing w:before="0" w:after="0"/>
    </w:pPr>
    <w:rPr>
      <w:rFonts w:ascii="Segoe UI" w:hAnsi="Segoe UI" w:eastAsia="Segoe UI" w:cs="Segoe UI"/>
      <w:sz w:val="18"/>
      <w:szCs w:val="18"/>
    </w:rPr>
  </w:style>
  <w:style w:type="paragraph" w:styleId="Footer">
    <w:name w:val="Footer"/>
    <w:basedOn w:val="Standard"/>
    <w:pPr>
      <w:suppressLineNumbers/>
      <w:tabs>
        <w:tab w:val="center" w:pos="4986" w:leader="none"/>
        <w:tab w:val="right" w:pos="9972" w:leader="none"/>
      </w:tabs>
    </w:pPr>
    <w:rPr/>
  </w:style>
  <w:style w:type="paragraph" w:styleId="PlainText">
    <w:name w:val="Plain Text"/>
    <w:basedOn w:val="Normal"/>
    <w:qFormat/>
    <w:pPr>
      <w:widowControl/>
      <w:suppressAutoHyphens w:val="false"/>
      <w:textAlignment w:val="auto"/>
    </w:pPr>
    <w:rPr>
      <w:rFonts w:ascii="Calibri" w:hAnsi="Calibri" w:eastAsia="Calibri" w:cs="Arial"/>
      <w:sz w:val="22"/>
      <w:szCs w:val="21"/>
    </w:rPr>
  </w:style>
  <w:style w:type="paragraph" w:styleId="Gmailmsotitle" w:customStyle="1">
    <w:name w:val="gmail-msotitle"/>
    <w:basedOn w:val="Normal"/>
    <w:qFormat/>
    <w:pPr>
      <w:widowControl/>
      <w:suppressAutoHyphens w:val="false"/>
      <w:spacing w:before="100" w:after="100"/>
      <w:textAlignment w:val="auto"/>
    </w:pPr>
    <w:rPr>
      <w:rFonts w:ascii="Times New Roman" w:hAnsi="Times New Roman" w:eastAsia="Calibri" w:cs="Times New Roman"/>
    </w:rPr>
  </w:style>
  <w:style w:type="paragraph" w:styleId="M2399115330349897227gmailuiqtextpara" w:customStyle="1">
    <w:name w:val="m_2399115330349897227gmail-ui_qtext_para"/>
    <w:basedOn w:val="Normal"/>
    <w:qFormat/>
    <w:pPr>
      <w:widowControl/>
      <w:suppressAutoHyphens w:val="false"/>
      <w:spacing w:before="100" w:after="100"/>
      <w:textAlignment w:val="auto"/>
    </w:pPr>
    <w:rPr>
      <w:rFonts w:ascii="Times New Roman" w:hAnsi="Times New Roman" w:eastAsia="Calibri" w:cs="Times New Roman"/>
    </w:rPr>
  </w:style>
  <w:style w:type="paragraph" w:styleId="Ydp40372dd9msonormal" w:customStyle="1">
    <w:name w:val="ydp40372dd9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Ydp59fc2f47msonormal" w:customStyle="1">
    <w:name w:val="ydp59fc2f47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P1" w:customStyle="1">
    <w:name w:val="p1"/>
    <w:basedOn w:val="Normal"/>
    <w:qFormat/>
    <w:pPr>
      <w:widowControl/>
      <w:suppressAutoHyphens w:val="false"/>
      <w:spacing w:before="100" w:after="100"/>
      <w:textAlignment w:val="auto"/>
    </w:pPr>
    <w:rPr>
      <w:rFonts w:ascii="Times New Roman" w:hAnsi="Times New Roman" w:eastAsia="Calibri" w:cs="Times New Roman"/>
    </w:rPr>
  </w:style>
  <w:style w:type="paragraph" w:styleId="Gmailm8984095601964301855gmailmsotitle" w:customStyle="1">
    <w:name w:val="gmail-m8984095601964301855gmail-msotitle"/>
    <w:basedOn w:val="Normal"/>
    <w:qFormat/>
    <w:pPr>
      <w:widowControl/>
      <w:suppressAutoHyphens w:val="false"/>
      <w:spacing w:before="100" w:after="100"/>
      <w:textAlignment w:val="auto"/>
    </w:pPr>
    <w:rPr>
      <w:rFonts w:ascii="Times New Roman" w:hAnsi="Times New Roman" w:eastAsia="Calibri" w:cs="Times New Roman"/>
    </w:rPr>
  </w:style>
  <w:style w:type="paragraph" w:styleId="P0" w:customStyle="1">
    <w:name w:val="p0"/>
    <w:basedOn w:val="Normal"/>
    <w:qFormat/>
    <w:pPr>
      <w:widowControl/>
      <w:suppressAutoHyphens w:val="false"/>
      <w:spacing w:before="100" w:after="100"/>
      <w:textAlignment w:val="auto"/>
    </w:pPr>
    <w:rPr>
      <w:rFonts w:ascii="Times New Roman" w:hAnsi="Times New Roman" w:eastAsia="Calibri" w:cs="Times New Roman"/>
    </w:rPr>
  </w:style>
  <w:style w:type="paragraph" w:styleId="Gmailmsonospacing" w:customStyle="1">
    <w:name w:val="gmail-msonospacing"/>
    <w:basedOn w:val="Normal"/>
    <w:qFormat/>
    <w:pPr>
      <w:widowControl/>
      <w:suppressAutoHyphens w:val="false"/>
      <w:spacing w:before="100" w:after="100"/>
      <w:textAlignment w:val="auto"/>
    </w:pPr>
    <w:rPr>
      <w:rFonts w:ascii="Times New Roman" w:hAnsi="Times New Roman" w:eastAsia="Calibri" w:cs="Times New Roman"/>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eastAsia="Calibri" w:cs="Courier New"/>
      <w:sz w:val="20"/>
      <w:szCs w:val="20"/>
    </w:rPr>
  </w:style>
  <w:style w:type="paragraph" w:styleId="Ydp983e158eyiv9538994498ydp103745a9yiv1778594267ydpc42fb17amsonormal" w:customStyle="1">
    <w:name w:val="ydp983e158eyiv9538994498ydp103745a9yiv1778594267ydpc42fb17a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Xxxp" w:customStyle="1">
    <w:name w:val="x_x_x_p"/>
    <w:basedOn w:val="Normal"/>
    <w:qFormat/>
    <w:pPr>
      <w:widowControl/>
      <w:suppressAutoHyphens w:val="false"/>
      <w:textAlignment w:val="auto"/>
    </w:pPr>
    <w:rPr>
      <w:rFonts w:ascii="Times New Roman" w:hAnsi="Times New Roman" w:eastAsia="Calibri" w:cs="Times New Roman"/>
    </w:rPr>
  </w:style>
  <w:style w:type="paragraph" w:styleId="Xmsonormal" w:customStyle="1">
    <w:name w:val="x_msonormal"/>
    <w:basedOn w:val="Normal"/>
    <w:qFormat/>
    <w:pPr>
      <w:widowControl/>
      <w:suppressAutoHyphens w:val="false"/>
      <w:textAlignment w:val="auto"/>
    </w:pPr>
    <w:rPr>
      <w:rFonts w:ascii="Calibri" w:hAnsi="Calibri" w:eastAsia="Calibri" w:cs="Times New Roman"/>
      <w:sz w:val="22"/>
      <w:szCs w:val="22"/>
    </w:rPr>
  </w:style>
  <w:style w:type="paragraph" w:styleId="Wordsection1" w:customStyle="1">
    <w:name w:val="wordsection1"/>
    <w:basedOn w:val="Normal"/>
    <w:link w:val="wordsection1Char"/>
    <w:qFormat/>
    <w:pPr>
      <w:widowControl/>
      <w:suppressAutoHyphens w:val="false"/>
      <w:spacing w:before="100" w:after="100"/>
      <w:textAlignment w:val="auto"/>
    </w:pPr>
    <w:rPr>
      <w:rFonts w:ascii="Times New Roman" w:hAnsi="Times New Roman" w:eastAsia="Calibri" w:cs="Times New Roman"/>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chmahindra.com/en-in/techmahindra-overview/" TargetMode="External"/><Relationship Id="rId3" Type="http://schemas.openxmlformats.org/officeDocument/2006/relationships/hyperlink" Target="http://www.investinegypt.gov.eg/" TargetMode="External"/><Relationship Id="rId4" Type="http://schemas.openxmlformats.org/officeDocument/2006/relationships/hyperlink" Target="mailto:m.waly@gafinet.org.eg" TargetMode="External"/><Relationship Id="rId5" Type="http://schemas.openxmlformats.org/officeDocument/2006/relationships/hyperlink" Target="mailto:m.waly@gafinet.org.eg" TargetMode="External"/><Relationship Id="rId6" Type="http://schemas.openxmlformats.org/officeDocument/2006/relationships/hyperlink" Target="mailto:m.waly@gafinet.org.e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Application>LibreOffice/5.2.7.2$Linux_X86_64 LibreOffice_project/20$Build-2</Application>
  <Pages>8</Pages>
  <Words>2676</Words>
  <Characters>14621</Characters>
  <CharactersWithSpaces>17008</CharactersWithSpaces>
  <Paragraphs>382</Paragraphs>
  <Company>Embassy of India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2022-10-20T08:22:00Z</dcterms:created>
  <dc:creator>Mona</dc:creator>
  <dc:description/>
  <dc:language>en-IN</dc:language>
  <cp:lastModifiedBy>Ahmed Ali</cp:lastModifiedBy>
  <cp:lastPrinted>2021-08-02T12:08:00Z</cp:lastPrinted>
  <dcterms:modified xsi:type="dcterms:W3CDTF">2023-09-11T09:10:00Z</dcterms:modified>
  <cp:revision>142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Embassy of India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